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564E" w14:textId="77777777" w:rsidR="003B53C6" w:rsidRPr="00FA23DA" w:rsidRDefault="003B53C6" w:rsidP="00FA23DA">
      <w:pPr>
        <w:spacing w:after="0" w:line="360" w:lineRule="auto"/>
        <w:ind w:firstLine="709"/>
        <w:jc w:val="both"/>
        <w:rPr>
          <w:rFonts w:ascii="Times New Roman" w:hAnsi="Times New Roman" w:cs="Times New Roman"/>
          <w:color w:val="000000"/>
          <w:sz w:val="28"/>
          <w:szCs w:val="28"/>
        </w:rPr>
      </w:pPr>
      <w:r w:rsidRPr="00FA23DA">
        <w:rPr>
          <w:rFonts w:ascii="Times New Roman" w:hAnsi="Times New Roman" w:cs="Times New Roman"/>
          <w:color w:val="000000"/>
          <w:sz w:val="28"/>
          <w:szCs w:val="28"/>
        </w:rPr>
        <w:t>УДК: 343.214:340.1</w:t>
      </w:r>
    </w:p>
    <w:p w14:paraId="4C9AD8CF" w14:textId="77777777" w:rsidR="003B53C6" w:rsidRPr="00FA23DA" w:rsidRDefault="003B53C6" w:rsidP="00FA23DA">
      <w:pPr>
        <w:spacing w:after="0" w:line="360" w:lineRule="auto"/>
        <w:ind w:firstLine="709"/>
        <w:jc w:val="both"/>
        <w:rPr>
          <w:rFonts w:ascii="Times New Roman" w:hAnsi="Times New Roman" w:cs="Times New Roman"/>
          <w:bCs/>
          <w:i/>
          <w:iCs/>
          <w:sz w:val="28"/>
          <w:szCs w:val="28"/>
        </w:rPr>
      </w:pPr>
      <w:proofErr w:type="spellStart"/>
      <w:r w:rsidRPr="00FA23DA">
        <w:rPr>
          <w:rFonts w:ascii="Times New Roman" w:hAnsi="Times New Roman" w:cs="Times New Roman"/>
          <w:bCs/>
          <w:i/>
          <w:iCs/>
          <w:sz w:val="28"/>
          <w:szCs w:val="28"/>
        </w:rPr>
        <w:t>Барильченко</w:t>
      </w:r>
      <w:proofErr w:type="spellEnd"/>
      <w:r w:rsidRPr="00FA23DA">
        <w:rPr>
          <w:rFonts w:ascii="Times New Roman" w:hAnsi="Times New Roman" w:cs="Times New Roman"/>
          <w:bCs/>
          <w:i/>
          <w:iCs/>
          <w:sz w:val="28"/>
          <w:szCs w:val="28"/>
        </w:rPr>
        <w:t xml:space="preserve"> Владислав Федорович</w:t>
      </w:r>
    </w:p>
    <w:p w14:paraId="6B7C5B4F" w14:textId="77777777" w:rsidR="003B53C6" w:rsidRPr="00FA23DA" w:rsidRDefault="003B53C6" w:rsidP="00FA23DA">
      <w:pPr>
        <w:spacing w:after="0" w:line="360" w:lineRule="auto"/>
        <w:ind w:firstLine="709"/>
        <w:jc w:val="both"/>
        <w:rPr>
          <w:rFonts w:ascii="Times New Roman" w:hAnsi="Times New Roman" w:cs="Times New Roman"/>
          <w:bCs/>
          <w:i/>
          <w:iCs/>
          <w:sz w:val="28"/>
          <w:szCs w:val="28"/>
        </w:rPr>
      </w:pPr>
      <w:r w:rsidRPr="00FA23DA">
        <w:rPr>
          <w:rFonts w:ascii="Times New Roman" w:hAnsi="Times New Roman" w:cs="Times New Roman"/>
          <w:color w:val="000000"/>
          <w:sz w:val="28"/>
          <w:szCs w:val="28"/>
        </w:rPr>
        <w:t xml:space="preserve">ORCID: </w:t>
      </w:r>
      <w:hyperlink r:id="rId8" w:history="1">
        <w:r w:rsidRPr="00FA23DA">
          <w:rPr>
            <w:rStyle w:val="Hyperlink"/>
            <w:rFonts w:ascii="Times New Roman" w:hAnsi="Times New Roman" w:cs="Times New Roman"/>
            <w:sz w:val="28"/>
            <w:szCs w:val="28"/>
          </w:rPr>
          <w:t>https://orcid.org/0009-0000-5625-190</w:t>
        </w:r>
      </w:hyperlink>
      <w:r w:rsidRPr="00FA23DA">
        <w:rPr>
          <w:rFonts w:ascii="Times New Roman" w:hAnsi="Times New Roman" w:cs="Times New Roman"/>
          <w:color w:val="000000"/>
          <w:sz w:val="28"/>
          <w:szCs w:val="28"/>
        </w:rPr>
        <w:t xml:space="preserve"> </w:t>
      </w:r>
    </w:p>
    <w:p w14:paraId="6B654D5E" w14:textId="77777777" w:rsidR="009A2045" w:rsidRPr="00FA23DA" w:rsidRDefault="009A2045" w:rsidP="00FA23DA">
      <w:pPr>
        <w:spacing w:after="0" w:line="360" w:lineRule="auto"/>
        <w:ind w:firstLine="709"/>
        <w:jc w:val="center"/>
        <w:rPr>
          <w:rFonts w:ascii="Times New Roman" w:hAnsi="Times New Roman" w:cs="Times New Roman"/>
          <w:b/>
          <w:sz w:val="28"/>
          <w:szCs w:val="28"/>
        </w:rPr>
      </w:pPr>
    </w:p>
    <w:p w14:paraId="3B5CDA33" w14:textId="79B33781" w:rsidR="009373AD" w:rsidRPr="00FA23DA" w:rsidRDefault="009373AD" w:rsidP="00FA23DA">
      <w:pPr>
        <w:spacing w:after="0" w:line="360" w:lineRule="auto"/>
        <w:ind w:firstLine="709"/>
        <w:jc w:val="center"/>
        <w:rPr>
          <w:rFonts w:ascii="Times New Roman" w:hAnsi="Times New Roman" w:cs="Times New Roman"/>
          <w:b/>
          <w:sz w:val="28"/>
          <w:szCs w:val="28"/>
        </w:rPr>
      </w:pPr>
      <w:r w:rsidRPr="00FA23DA">
        <w:rPr>
          <w:rFonts w:ascii="Times New Roman" w:hAnsi="Times New Roman" w:cs="Times New Roman"/>
          <w:b/>
          <w:sz w:val="28"/>
          <w:szCs w:val="28"/>
        </w:rPr>
        <w:t xml:space="preserve">ТЛУМАЧЕННЯ У КРИМІНАЛЬНОМУ ПРАВІ: </w:t>
      </w:r>
    </w:p>
    <w:p w14:paraId="742BA26D" w14:textId="77777777" w:rsidR="004B3769" w:rsidRPr="00FA23DA" w:rsidRDefault="009373AD" w:rsidP="00FA23DA">
      <w:pPr>
        <w:spacing w:after="0" w:line="360" w:lineRule="auto"/>
        <w:ind w:firstLine="709"/>
        <w:jc w:val="center"/>
        <w:rPr>
          <w:rFonts w:ascii="Times New Roman" w:hAnsi="Times New Roman" w:cs="Times New Roman"/>
          <w:b/>
          <w:sz w:val="28"/>
          <w:szCs w:val="28"/>
        </w:rPr>
      </w:pPr>
      <w:r w:rsidRPr="00FA23DA">
        <w:rPr>
          <w:rFonts w:ascii="Times New Roman" w:hAnsi="Times New Roman" w:cs="Times New Roman"/>
          <w:b/>
          <w:sz w:val="28"/>
          <w:szCs w:val="28"/>
        </w:rPr>
        <w:t>ОСОБЛИВОСТІ ТА МЕЖІ</w:t>
      </w:r>
    </w:p>
    <w:p w14:paraId="1311FD88" w14:textId="77777777" w:rsidR="009A2045" w:rsidRPr="00FA23DA" w:rsidRDefault="009A2045" w:rsidP="00FA23DA">
      <w:pPr>
        <w:spacing w:after="0" w:line="360" w:lineRule="auto"/>
        <w:ind w:firstLine="709"/>
        <w:jc w:val="center"/>
        <w:rPr>
          <w:rFonts w:ascii="Times New Roman" w:hAnsi="Times New Roman" w:cs="Times New Roman"/>
          <w:b/>
          <w:sz w:val="28"/>
          <w:szCs w:val="28"/>
        </w:rPr>
      </w:pPr>
    </w:p>
    <w:p w14:paraId="43CA8552" w14:textId="77777777" w:rsidR="009A2045" w:rsidRPr="00FA23DA" w:rsidRDefault="009A2045" w:rsidP="00FA23DA">
      <w:pPr>
        <w:spacing w:after="0" w:line="360" w:lineRule="auto"/>
        <w:ind w:firstLine="709"/>
        <w:jc w:val="both"/>
        <w:rPr>
          <w:rStyle w:val="Emphasis"/>
          <w:rFonts w:ascii="Times New Roman" w:hAnsi="Times New Roman" w:cs="Times New Roman"/>
          <w:sz w:val="28"/>
          <w:szCs w:val="28"/>
        </w:rPr>
      </w:pPr>
      <w:r w:rsidRPr="00FA23DA">
        <w:rPr>
          <w:rStyle w:val="Emphasis"/>
          <w:rFonts w:ascii="Times New Roman" w:hAnsi="Times New Roman" w:cs="Times New Roman"/>
          <w:sz w:val="28"/>
          <w:szCs w:val="28"/>
        </w:rPr>
        <w:t>У статті розглянуто особливості здійснення тлумачення у кримінальному праві, що з огляду на особливості на специфіку вказаної галузі права є актуальним питанням на сьогодні. Особливу увагу у статті присвячено саме розширювальному тлумаченню кримінально-правових норм, що і по сьогодні викликає гострі дискусії серед наукових кіл. Здійснено короткий огляд історії розвитку поняття тлумачення у праві та зміни ставлення до його здійснення. Звернено увагу на особливості поділу галузей права на приватні та публічні, необхідність такого поділу, а також його вплив на процес тлумачення правових норм. Наголошено на тому, що особливості норм кримінального права не дозволяють віднести цю галузь до приватно-правових чи публічно-правових. Досліджено ставлення науковців, а також позиції судів до тлумачення норм кримінального права, у тому числі за обсягом. Зроблено висновок, що в окремих випадках кримінально-правові норми можуть тлумачитися розширено і такий процес є невідворотнім, водночас, питання меж такого тлумачення залишається дискусійним та потребує вирішення для забезпечення ефективного та справедливого правозастосування.</w:t>
      </w:r>
    </w:p>
    <w:p w14:paraId="4B6980B1" w14:textId="77777777" w:rsidR="009A2045" w:rsidRPr="00FA23DA" w:rsidRDefault="009A2045" w:rsidP="00FA23DA">
      <w:pPr>
        <w:spacing w:after="0" w:line="360" w:lineRule="auto"/>
        <w:ind w:firstLine="709"/>
        <w:jc w:val="both"/>
        <w:rPr>
          <w:rFonts w:ascii="Times New Roman" w:hAnsi="Times New Roman" w:cs="Times New Roman"/>
          <w:b/>
          <w:sz w:val="28"/>
          <w:szCs w:val="28"/>
        </w:rPr>
      </w:pPr>
    </w:p>
    <w:p w14:paraId="297AE157" w14:textId="77777777" w:rsidR="009A2045" w:rsidRPr="00FA23DA" w:rsidRDefault="009A2045" w:rsidP="00FA23DA">
      <w:pPr>
        <w:spacing w:after="0" w:line="360" w:lineRule="auto"/>
        <w:ind w:firstLine="709"/>
        <w:jc w:val="both"/>
        <w:rPr>
          <w:rFonts w:ascii="Times New Roman" w:hAnsi="Times New Roman" w:cs="Times New Roman"/>
          <w:b/>
          <w:sz w:val="28"/>
          <w:szCs w:val="28"/>
        </w:rPr>
      </w:pPr>
      <w:r w:rsidRPr="00FA23DA">
        <w:rPr>
          <w:rFonts w:ascii="Times New Roman" w:hAnsi="Times New Roman" w:cs="Times New Roman"/>
          <w:b/>
          <w:sz w:val="28"/>
          <w:szCs w:val="28"/>
        </w:rPr>
        <w:t xml:space="preserve">Ключові слова: </w:t>
      </w:r>
      <w:r w:rsidRPr="00FA23DA">
        <w:rPr>
          <w:rFonts w:ascii="Times New Roman" w:hAnsi="Times New Roman" w:cs="Times New Roman"/>
          <w:bCs/>
          <w:i/>
          <w:iCs/>
          <w:sz w:val="28"/>
          <w:szCs w:val="28"/>
        </w:rPr>
        <w:t>розширене тлумачення, межі тлумачення, тлумачення кримінально-правових норм</w:t>
      </w:r>
    </w:p>
    <w:p w14:paraId="68E567C3" w14:textId="77777777" w:rsidR="009A2045" w:rsidRPr="00FA23DA" w:rsidRDefault="009A2045" w:rsidP="00FA23DA">
      <w:pPr>
        <w:spacing w:after="0" w:line="360" w:lineRule="auto"/>
        <w:ind w:firstLine="709"/>
        <w:jc w:val="center"/>
        <w:rPr>
          <w:rFonts w:ascii="Times New Roman" w:hAnsi="Times New Roman" w:cs="Times New Roman"/>
          <w:b/>
          <w:sz w:val="28"/>
          <w:szCs w:val="28"/>
        </w:rPr>
      </w:pPr>
    </w:p>
    <w:p w14:paraId="49032FE0" w14:textId="77777777" w:rsidR="005F16B1" w:rsidRPr="00FA23DA" w:rsidRDefault="005F16B1" w:rsidP="00FA23DA">
      <w:pPr>
        <w:spacing w:after="0" w:line="360" w:lineRule="auto"/>
        <w:ind w:firstLine="709"/>
        <w:jc w:val="both"/>
        <w:rPr>
          <w:rFonts w:ascii="Times New Roman" w:hAnsi="Times New Roman" w:cs="Times New Roman"/>
          <w:b/>
          <w:sz w:val="28"/>
          <w:szCs w:val="28"/>
        </w:rPr>
      </w:pPr>
    </w:p>
    <w:p w14:paraId="1A507D05" w14:textId="77777777" w:rsidR="003D12BF" w:rsidRPr="00FA23DA" w:rsidRDefault="006F3158" w:rsidP="00FA23DA">
      <w:pPr>
        <w:spacing w:after="0" w:line="360" w:lineRule="auto"/>
        <w:ind w:firstLine="709"/>
        <w:jc w:val="both"/>
        <w:rPr>
          <w:rFonts w:ascii="Times New Roman" w:hAnsi="Times New Roman" w:cs="Times New Roman"/>
          <w:b/>
          <w:sz w:val="28"/>
          <w:szCs w:val="28"/>
        </w:rPr>
      </w:pPr>
      <w:r w:rsidRPr="00FA23DA">
        <w:rPr>
          <w:rFonts w:ascii="Times New Roman" w:hAnsi="Times New Roman" w:cs="Times New Roman"/>
          <w:b/>
          <w:sz w:val="28"/>
          <w:szCs w:val="28"/>
        </w:rPr>
        <w:t>Постановка проблеми.</w:t>
      </w:r>
      <w:r w:rsidR="009943B3" w:rsidRPr="00FA23DA">
        <w:rPr>
          <w:rFonts w:ascii="Times New Roman" w:hAnsi="Times New Roman" w:cs="Times New Roman"/>
          <w:b/>
          <w:sz w:val="28"/>
          <w:szCs w:val="28"/>
        </w:rPr>
        <w:t xml:space="preserve"> </w:t>
      </w:r>
      <w:r w:rsidR="00C03E5F" w:rsidRPr="00FA23DA">
        <w:rPr>
          <w:rFonts w:ascii="Times New Roman" w:hAnsi="Times New Roman" w:cs="Times New Roman"/>
          <w:sz w:val="28"/>
          <w:szCs w:val="28"/>
        </w:rPr>
        <w:t>Т</w:t>
      </w:r>
      <w:r w:rsidR="003D12BF" w:rsidRPr="00FA23DA">
        <w:rPr>
          <w:rFonts w:ascii="Times New Roman" w:hAnsi="Times New Roman" w:cs="Times New Roman"/>
          <w:sz w:val="28"/>
          <w:szCs w:val="28"/>
        </w:rPr>
        <w:t xml:space="preserve">лумачення норм права є одним з ключових питань у юридичній науці, адже саме тлумачення здатне забезпечити ефективне </w:t>
      </w:r>
      <w:r w:rsidR="003D12BF" w:rsidRPr="00FA23DA">
        <w:rPr>
          <w:rFonts w:ascii="Times New Roman" w:hAnsi="Times New Roman" w:cs="Times New Roman"/>
          <w:sz w:val="28"/>
          <w:szCs w:val="28"/>
        </w:rPr>
        <w:lastRenderedPageBreak/>
        <w:t xml:space="preserve">застосування правових норм та, як наслідок, належний рівень регулювання суспільних відносин. Тлумачення є багатогранним та складним процесом, який </w:t>
      </w:r>
      <w:r w:rsidR="004C42A3" w:rsidRPr="00FA23DA">
        <w:rPr>
          <w:rFonts w:ascii="Times New Roman" w:hAnsi="Times New Roman" w:cs="Times New Roman"/>
          <w:sz w:val="28"/>
          <w:szCs w:val="28"/>
        </w:rPr>
        <w:t>досліджується</w:t>
      </w:r>
      <w:r w:rsidR="003D12BF" w:rsidRPr="00FA23DA">
        <w:rPr>
          <w:rFonts w:ascii="Times New Roman" w:hAnsi="Times New Roman" w:cs="Times New Roman"/>
          <w:sz w:val="28"/>
          <w:szCs w:val="28"/>
        </w:rPr>
        <w:t xml:space="preserve"> протягом тривалого часу. Однак, </w:t>
      </w:r>
      <w:r w:rsidR="008B3830" w:rsidRPr="00FA23DA">
        <w:rPr>
          <w:rFonts w:ascii="Times New Roman" w:hAnsi="Times New Roman" w:cs="Times New Roman"/>
          <w:sz w:val="28"/>
          <w:szCs w:val="28"/>
        </w:rPr>
        <w:t xml:space="preserve">все ж </w:t>
      </w:r>
      <w:r w:rsidR="003D12BF" w:rsidRPr="00FA23DA">
        <w:rPr>
          <w:rFonts w:ascii="Times New Roman" w:hAnsi="Times New Roman" w:cs="Times New Roman"/>
          <w:sz w:val="28"/>
          <w:szCs w:val="28"/>
        </w:rPr>
        <w:t>залишається низк</w:t>
      </w:r>
      <w:r w:rsidR="00643FAA" w:rsidRPr="00FA23DA">
        <w:rPr>
          <w:rFonts w:ascii="Times New Roman" w:hAnsi="Times New Roman" w:cs="Times New Roman"/>
          <w:sz w:val="28"/>
          <w:szCs w:val="28"/>
        </w:rPr>
        <w:t>а проблемних питань, опрацюванню</w:t>
      </w:r>
      <w:r w:rsidR="003D12BF" w:rsidRPr="00FA23DA">
        <w:rPr>
          <w:rFonts w:ascii="Times New Roman" w:hAnsi="Times New Roman" w:cs="Times New Roman"/>
          <w:sz w:val="28"/>
          <w:szCs w:val="28"/>
        </w:rPr>
        <w:t xml:space="preserve"> яких присвячені дослідження, які продовжують здійснюватися і сьогодні.</w:t>
      </w:r>
    </w:p>
    <w:p w14:paraId="1CD8D7B9" w14:textId="77777777" w:rsidR="00412B93" w:rsidRPr="00FA23DA" w:rsidRDefault="0045231D"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Однією з таких проблем</w:t>
      </w:r>
      <w:r w:rsidR="00412B93" w:rsidRPr="00FA23DA">
        <w:rPr>
          <w:rFonts w:ascii="Times New Roman" w:hAnsi="Times New Roman" w:cs="Times New Roman"/>
          <w:sz w:val="28"/>
          <w:szCs w:val="28"/>
        </w:rPr>
        <w:t xml:space="preserve"> у сфері тлумачення залишається інтерпретаційна діяльність саме у сфері кримінального права. Особливо гострими у цьому напрямку є дискусії </w:t>
      </w:r>
      <w:r w:rsidR="00DE01F3" w:rsidRPr="00FA23DA">
        <w:rPr>
          <w:rFonts w:ascii="Times New Roman" w:hAnsi="Times New Roman" w:cs="Times New Roman"/>
          <w:sz w:val="28"/>
          <w:szCs w:val="28"/>
        </w:rPr>
        <w:t xml:space="preserve">щодо можливості розширеного тлумачення кримінально-правових норм. </w:t>
      </w:r>
      <w:r w:rsidR="008C7757" w:rsidRPr="00FA23DA">
        <w:rPr>
          <w:rFonts w:ascii="Times New Roman" w:hAnsi="Times New Roman" w:cs="Times New Roman"/>
          <w:sz w:val="28"/>
          <w:szCs w:val="28"/>
        </w:rPr>
        <w:t xml:space="preserve">У силу специфіки </w:t>
      </w:r>
      <w:r w:rsidRPr="00FA23DA">
        <w:rPr>
          <w:rFonts w:ascii="Times New Roman" w:hAnsi="Times New Roman" w:cs="Times New Roman"/>
          <w:sz w:val="28"/>
          <w:szCs w:val="28"/>
        </w:rPr>
        <w:t>цієї сфери права</w:t>
      </w:r>
      <w:r w:rsidR="008C7757" w:rsidRPr="00FA23DA">
        <w:rPr>
          <w:rFonts w:ascii="Times New Roman" w:hAnsi="Times New Roman" w:cs="Times New Roman"/>
          <w:sz w:val="28"/>
          <w:szCs w:val="28"/>
        </w:rPr>
        <w:t xml:space="preserve"> дослідження у </w:t>
      </w:r>
      <w:r w:rsidR="00A2029E" w:rsidRPr="00FA23DA">
        <w:rPr>
          <w:rFonts w:ascii="Times New Roman" w:hAnsi="Times New Roman" w:cs="Times New Roman"/>
          <w:sz w:val="28"/>
          <w:szCs w:val="28"/>
        </w:rPr>
        <w:t>вказаному</w:t>
      </w:r>
      <w:r w:rsidR="008C7757" w:rsidRPr="00FA23DA">
        <w:rPr>
          <w:rFonts w:ascii="Times New Roman" w:hAnsi="Times New Roman" w:cs="Times New Roman"/>
          <w:sz w:val="28"/>
          <w:szCs w:val="28"/>
        </w:rPr>
        <w:t xml:space="preserve"> напрямку є важливими та актуальними.</w:t>
      </w:r>
    </w:p>
    <w:p w14:paraId="45D8A2CF" w14:textId="77777777" w:rsidR="009A691F" w:rsidRPr="00FA23DA" w:rsidRDefault="008B3830"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Упродовж</w:t>
      </w:r>
      <w:r w:rsidR="009A691F" w:rsidRPr="00FA23DA">
        <w:rPr>
          <w:rFonts w:ascii="Times New Roman" w:hAnsi="Times New Roman" w:cs="Times New Roman"/>
          <w:sz w:val="28"/>
          <w:szCs w:val="28"/>
        </w:rPr>
        <w:t xml:space="preserve"> тривалого часу </w:t>
      </w:r>
      <w:r w:rsidR="004413FD" w:rsidRPr="00FA23DA">
        <w:rPr>
          <w:rFonts w:ascii="Times New Roman" w:hAnsi="Times New Roman" w:cs="Times New Roman"/>
          <w:sz w:val="28"/>
          <w:szCs w:val="28"/>
        </w:rPr>
        <w:t>існує</w:t>
      </w:r>
      <w:r w:rsidR="009A691F" w:rsidRPr="00FA23DA">
        <w:rPr>
          <w:rFonts w:ascii="Times New Roman" w:hAnsi="Times New Roman" w:cs="Times New Roman"/>
          <w:sz w:val="28"/>
          <w:szCs w:val="28"/>
        </w:rPr>
        <w:t xml:space="preserve"> </w:t>
      </w:r>
      <w:r w:rsidR="004413FD" w:rsidRPr="00FA23DA">
        <w:rPr>
          <w:rFonts w:ascii="Times New Roman" w:hAnsi="Times New Roman" w:cs="Times New Roman"/>
          <w:sz w:val="28"/>
          <w:szCs w:val="28"/>
        </w:rPr>
        <w:t>переконання</w:t>
      </w:r>
      <w:r w:rsidR="009A691F" w:rsidRPr="00FA23DA">
        <w:rPr>
          <w:rFonts w:ascii="Times New Roman" w:hAnsi="Times New Roman" w:cs="Times New Roman"/>
          <w:sz w:val="28"/>
          <w:szCs w:val="28"/>
        </w:rPr>
        <w:t>, що кримінальні норми можуть тлумачитися вик</w:t>
      </w:r>
      <w:r w:rsidR="004413FD" w:rsidRPr="00FA23DA">
        <w:rPr>
          <w:rFonts w:ascii="Times New Roman" w:hAnsi="Times New Roman" w:cs="Times New Roman"/>
          <w:sz w:val="28"/>
          <w:szCs w:val="28"/>
        </w:rPr>
        <w:t>лючно буквально та не допускається можливість</w:t>
      </w:r>
      <w:r w:rsidR="009A691F" w:rsidRPr="00FA23DA">
        <w:rPr>
          <w:rFonts w:ascii="Times New Roman" w:hAnsi="Times New Roman" w:cs="Times New Roman"/>
          <w:sz w:val="28"/>
          <w:szCs w:val="28"/>
        </w:rPr>
        <w:t xml:space="preserve"> застосування розширеного тлумачення. Поруч з цим</w:t>
      </w:r>
      <w:r w:rsidR="004413FD" w:rsidRPr="00FA23DA">
        <w:rPr>
          <w:rFonts w:ascii="Times New Roman" w:hAnsi="Times New Roman" w:cs="Times New Roman"/>
          <w:sz w:val="28"/>
          <w:szCs w:val="28"/>
        </w:rPr>
        <w:t>,</w:t>
      </w:r>
      <w:r w:rsidR="009A691F" w:rsidRPr="00FA23DA">
        <w:rPr>
          <w:rFonts w:ascii="Times New Roman" w:hAnsi="Times New Roman" w:cs="Times New Roman"/>
          <w:sz w:val="28"/>
          <w:szCs w:val="28"/>
        </w:rPr>
        <w:t xml:space="preserve"> непоодинокими є думки про допустимість розширеного тлумачення таких норм у певних випадках.</w:t>
      </w:r>
      <w:r w:rsidR="00C03E5F" w:rsidRPr="00FA23DA">
        <w:rPr>
          <w:rFonts w:ascii="Times New Roman" w:hAnsi="Times New Roman" w:cs="Times New Roman"/>
          <w:sz w:val="28"/>
          <w:szCs w:val="28"/>
        </w:rPr>
        <w:t xml:space="preserve"> Важливо спробувати знайти одностайність у цьому питанні, адже тлумачення кримінального права у належний спосіб забезпечить дотримання прав та законних інтересів громадян</w:t>
      </w:r>
      <w:r w:rsidR="00A17B1B" w:rsidRPr="00FA23DA">
        <w:rPr>
          <w:rFonts w:ascii="Times New Roman" w:hAnsi="Times New Roman" w:cs="Times New Roman"/>
          <w:sz w:val="28"/>
          <w:szCs w:val="28"/>
        </w:rPr>
        <w:t>. При цьому, обмеження лише буквальним тлумаченням може створити додаткові перешкоди у захисті прав людини та унеможливить належне функціонування правової системи.</w:t>
      </w:r>
    </w:p>
    <w:p w14:paraId="22EAA76F" w14:textId="77777777" w:rsidR="004C42A3" w:rsidRPr="00FA23DA" w:rsidRDefault="000F1437"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У цій статті ми розглянемо особливості</w:t>
      </w:r>
      <w:r w:rsidR="004E57C8" w:rsidRPr="00FA23DA">
        <w:rPr>
          <w:rFonts w:ascii="Times New Roman" w:hAnsi="Times New Roman" w:cs="Times New Roman"/>
          <w:sz w:val="28"/>
          <w:szCs w:val="28"/>
        </w:rPr>
        <w:t xml:space="preserve"> та межі</w:t>
      </w:r>
      <w:r w:rsidRPr="00FA23DA">
        <w:rPr>
          <w:rFonts w:ascii="Times New Roman" w:hAnsi="Times New Roman" w:cs="Times New Roman"/>
          <w:sz w:val="28"/>
          <w:szCs w:val="28"/>
        </w:rPr>
        <w:t xml:space="preserve"> здійснення тлумачення у кримінальному праві крізь призму загальних знань про тлумачення. Д</w:t>
      </w:r>
      <w:r w:rsidR="00F25127" w:rsidRPr="00FA23DA">
        <w:rPr>
          <w:rFonts w:ascii="Times New Roman" w:hAnsi="Times New Roman" w:cs="Times New Roman"/>
          <w:sz w:val="28"/>
          <w:szCs w:val="28"/>
        </w:rPr>
        <w:t xml:space="preserve">ля цього ми </w:t>
      </w:r>
      <w:r w:rsidR="008B3830" w:rsidRPr="00FA23DA">
        <w:rPr>
          <w:rFonts w:ascii="Times New Roman" w:hAnsi="Times New Roman" w:cs="Times New Roman"/>
          <w:sz w:val="28"/>
          <w:szCs w:val="28"/>
        </w:rPr>
        <w:t xml:space="preserve">коротко </w:t>
      </w:r>
      <w:r w:rsidR="00F25127" w:rsidRPr="00FA23DA">
        <w:rPr>
          <w:rFonts w:ascii="Times New Roman" w:hAnsi="Times New Roman" w:cs="Times New Roman"/>
          <w:sz w:val="28"/>
          <w:szCs w:val="28"/>
        </w:rPr>
        <w:t>поглянемо на історію</w:t>
      </w:r>
      <w:r w:rsidR="004413FD" w:rsidRPr="00FA23DA">
        <w:rPr>
          <w:rFonts w:ascii="Times New Roman" w:hAnsi="Times New Roman" w:cs="Times New Roman"/>
          <w:sz w:val="28"/>
          <w:szCs w:val="28"/>
        </w:rPr>
        <w:t xml:space="preserve"> становлення та розвитку </w:t>
      </w:r>
      <w:r w:rsidRPr="00FA23DA">
        <w:rPr>
          <w:rFonts w:ascii="Times New Roman" w:hAnsi="Times New Roman" w:cs="Times New Roman"/>
          <w:sz w:val="28"/>
          <w:szCs w:val="28"/>
        </w:rPr>
        <w:t xml:space="preserve">поняття «тлумачення», виокремимо основні види тлумачення, звернемо увагу на особливості, притаманні здійсненню тлумачення у приватному та публічному праві, розглянемо питання заборони здійснення розширеного тлумачення </w:t>
      </w:r>
      <w:r w:rsidR="00F25127" w:rsidRPr="00FA23DA">
        <w:rPr>
          <w:rFonts w:ascii="Times New Roman" w:hAnsi="Times New Roman" w:cs="Times New Roman"/>
          <w:sz w:val="28"/>
          <w:szCs w:val="28"/>
        </w:rPr>
        <w:t>у публічному праві, у тому числі кримінальному, а також з’ясуємо якими є винятки та коли кримінальне право може тлумачитися розширено.</w:t>
      </w:r>
      <w:r w:rsidR="004C42A3" w:rsidRPr="00FA23DA">
        <w:rPr>
          <w:rFonts w:ascii="Times New Roman" w:hAnsi="Times New Roman" w:cs="Times New Roman"/>
          <w:sz w:val="28"/>
          <w:szCs w:val="28"/>
        </w:rPr>
        <w:t xml:space="preserve"> </w:t>
      </w:r>
    </w:p>
    <w:p w14:paraId="1F2604B3" w14:textId="77777777" w:rsidR="006F3158" w:rsidRPr="00FA23DA" w:rsidRDefault="006F3158" w:rsidP="00FA23DA">
      <w:pPr>
        <w:spacing w:after="0" w:line="360" w:lineRule="auto"/>
        <w:ind w:firstLine="709"/>
        <w:jc w:val="both"/>
        <w:rPr>
          <w:rFonts w:ascii="Times New Roman" w:hAnsi="Times New Roman" w:cs="Times New Roman"/>
          <w:b/>
          <w:sz w:val="28"/>
          <w:szCs w:val="28"/>
        </w:rPr>
      </w:pPr>
      <w:r w:rsidRPr="00FA23DA">
        <w:rPr>
          <w:rFonts w:ascii="Times New Roman" w:hAnsi="Times New Roman" w:cs="Times New Roman"/>
          <w:b/>
          <w:sz w:val="28"/>
          <w:szCs w:val="28"/>
        </w:rPr>
        <w:t>Аналіз останніх досліджень і публікацій.</w:t>
      </w:r>
      <w:r w:rsidR="009943B3" w:rsidRPr="00FA23DA">
        <w:rPr>
          <w:rFonts w:ascii="Times New Roman" w:hAnsi="Times New Roman" w:cs="Times New Roman"/>
          <w:b/>
          <w:sz w:val="28"/>
          <w:szCs w:val="28"/>
          <w:lang w:val="ru-RU"/>
        </w:rPr>
        <w:t xml:space="preserve"> </w:t>
      </w:r>
      <w:r w:rsidR="00A3168F" w:rsidRPr="00FA23DA">
        <w:rPr>
          <w:rFonts w:ascii="Times New Roman" w:hAnsi="Times New Roman" w:cs="Times New Roman"/>
          <w:sz w:val="28"/>
          <w:szCs w:val="28"/>
        </w:rPr>
        <w:t xml:space="preserve">Незважаючи на те, що тлумаченню норм права присвячена велика кількість досліджень, тлумачення, </w:t>
      </w:r>
      <w:r w:rsidR="00A3168F" w:rsidRPr="00FA23DA">
        <w:rPr>
          <w:rFonts w:ascii="Times New Roman" w:hAnsi="Times New Roman" w:cs="Times New Roman"/>
          <w:sz w:val="28"/>
          <w:szCs w:val="28"/>
        </w:rPr>
        <w:lastRenderedPageBreak/>
        <w:t>зокрема розширювальне, норм саме кримінального права потребує подальших досліджень.</w:t>
      </w:r>
    </w:p>
    <w:p w14:paraId="108F036C" w14:textId="77777777" w:rsidR="006F3158" w:rsidRPr="00FA23DA" w:rsidRDefault="006F3158"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Однією з перших ґрунтовних</w:t>
      </w:r>
      <w:r w:rsidR="00901B42" w:rsidRPr="00FA23DA">
        <w:rPr>
          <w:rFonts w:ascii="Times New Roman" w:hAnsi="Times New Roman" w:cs="Times New Roman"/>
          <w:sz w:val="28"/>
          <w:szCs w:val="28"/>
        </w:rPr>
        <w:t xml:space="preserve"> робіт, присвячених тлумаченню</w:t>
      </w:r>
      <w:r w:rsidRPr="00FA23DA">
        <w:rPr>
          <w:rFonts w:ascii="Times New Roman" w:hAnsi="Times New Roman" w:cs="Times New Roman"/>
          <w:sz w:val="28"/>
          <w:szCs w:val="28"/>
        </w:rPr>
        <w:t xml:space="preserve"> норм кримінального права була робота П. С. </w:t>
      </w:r>
      <w:proofErr w:type="spellStart"/>
      <w:r w:rsidRPr="00FA23DA">
        <w:rPr>
          <w:rFonts w:ascii="Times New Roman" w:hAnsi="Times New Roman" w:cs="Times New Roman"/>
          <w:sz w:val="28"/>
          <w:szCs w:val="28"/>
        </w:rPr>
        <w:t>Елькінд</w:t>
      </w:r>
      <w:proofErr w:type="spellEnd"/>
      <w:r w:rsidRPr="00FA23DA">
        <w:rPr>
          <w:rFonts w:ascii="Times New Roman" w:hAnsi="Times New Roman" w:cs="Times New Roman"/>
          <w:sz w:val="28"/>
          <w:szCs w:val="28"/>
        </w:rPr>
        <w:t xml:space="preserve"> «Тлумачення і застосування норм кримінально-процесуального права», видана ще в 1967 році. За часів незалежності О. В. </w:t>
      </w:r>
      <w:proofErr w:type="spellStart"/>
      <w:r w:rsidRPr="00FA23DA">
        <w:rPr>
          <w:rFonts w:ascii="Times New Roman" w:hAnsi="Times New Roman" w:cs="Times New Roman"/>
          <w:sz w:val="28"/>
          <w:szCs w:val="28"/>
        </w:rPr>
        <w:t>Капліна</w:t>
      </w:r>
      <w:proofErr w:type="spellEnd"/>
      <w:r w:rsidR="007354B0" w:rsidRPr="00FA23DA">
        <w:rPr>
          <w:rFonts w:ascii="Times New Roman" w:hAnsi="Times New Roman" w:cs="Times New Roman"/>
          <w:sz w:val="28"/>
          <w:szCs w:val="28"/>
        </w:rPr>
        <w:t xml:space="preserve">, </w:t>
      </w:r>
      <w:r w:rsidR="00A3168F" w:rsidRPr="00FA23DA">
        <w:rPr>
          <w:rFonts w:ascii="Times New Roman" w:hAnsi="Times New Roman" w:cs="Times New Roman"/>
          <w:sz w:val="28"/>
          <w:szCs w:val="28"/>
        </w:rPr>
        <w:t>О.</w:t>
      </w:r>
      <w:r w:rsidR="007354B0" w:rsidRPr="00FA23DA">
        <w:rPr>
          <w:rFonts w:ascii="Times New Roman" w:hAnsi="Times New Roman" w:cs="Times New Roman"/>
          <w:sz w:val="28"/>
          <w:szCs w:val="28"/>
        </w:rPr>
        <w:t xml:space="preserve"> </w:t>
      </w:r>
      <w:r w:rsidR="00A3168F" w:rsidRPr="00FA23DA">
        <w:rPr>
          <w:rFonts w:ascii="Times New Roman" w:hAnsi="Times New Roman" w:cs="Times New Roman"/>
          <w:sz w:val="28"/>
          <w:szCs w:val="28"/>
        </w:rPr>
        <w:t xml:space="preserve">О. </w:t>
      </w:r>
      <w:proofErr w:type="spellStart"/>
      <w:r w:rsidR="00A3168F" w:rsidRPr="00FA23DA">
        <w:rPr>
          <w:rFonts w:ascii="Times New Roman" w:hAnsi="Times New Roman" w:cs="Times New Roman"/>
          <w:sz w:val="28"/>
          <w:szCs w:val="28"/>
        </w:rPr>
        <w:t>Дудоров</w:t>
      </w:r>
      <w:proofErr w:type="spellEnd"/>
      <w:r w:rsidR="007354B0" w:rsidRPr="00FA23DA">
        <w:rPr>
          <w:rFonts w:ascii="Times New Roman" w:hAnsi="Times New Roman" w:cs="Times New Roman"/>
          <w:sz w:val="28"/>
          <w:szCs w:val="28"/>
        </w:rPr>
        <w:t xml:space="preserve"> та С. В.</w:t>
      </w:r>
      <w:r w:rsidR="00A3168F" w:rsidRPr="00FA23DA">
        <w:rPr>
          <w:rFonts w:ascii="Times New Roman" w:hAnsi="Times New Roman" w:cs="Times New Roman"/>
          <w:sz w:val="28"/>
          <w:szCs w:val="28"/>
        </w:rPr>
        <w:t xml:space="preserve"> </w:t>
      </w:r>
      <w:proofErr w:type="spellStart"/>
      <w:r w:rsidR="007354B0" w:rsidRPr="00FA23DA">
        <w:rPr>
          <w:rFonts w:ascii="Times New Roman" w:hAnsi="Times New Roman" w:cs="Times New Roman"/>
          <w:sz w:val="28"/>
          <w:szCs w:val="28"/>
        </w:rPr>
        <w:t>Хилюк</w:t>
      </w:r>
      <w:proofErr w:type="spellEnd"/>
      <w:r w:rsidR="007354B0" w:rsidRPr="00FA23DA">
        <w:rPr>
          <w:rFonts w:ascii="Times New Roman" w:hAnsi="Times New Roman" w:cs="Times New Roman"/>
          <w:sz w:val="28"/>
          <w:szCs w:val="28"/>
        </w:rPr>
        <w:t xml:space="preserve"> </w:t>
      </w:r>
      <w:r w:rsidR="00901B42" w:rsidRPr="00FA23DA">
        <w:rPr>
          <w:rFonts w:ascii="Times New Roman" w:hAnsi="Times New Roman" w:cs="Times New Roman"/>
          <w:sz w:val="28"/>
          <w:szCs w:val="28"/>
        </w:rPr>
        <w:t xml:space="preserve">також </w:t>
      </w:r>
      <w:r w:rsidR="00A3168F" w:rsidRPr="00FA23DA">
        <w:rPr>
          <w:rFonts w:ascii="Times New Roman" w:hAnsi="Times New Roman" w:cs="Times New Roman"/>
          <w:sz w:val="28"/>
          <w:szCs w:val="28"/>
        </w:rPr>
        <w:t>активно займаю</w:t>
      </w:r>
      <w:r w:rsidRPr="00FA23DA">
        <w:rPr>
          <w:rFonts w:ascii="Times New Roman" w:hAnsi="Times New Roman" w:cs="Times New Roman"/>
          <w:sz w:val="28"/>
          <w:szCs w:val="28"/>
        </w:rPr>
        <w:t>ться п</w:t>
      </w:r>
      <w:r w:rsidR="00A3168F" w:rsidRPr="00FA23DA">
        <w:rPr>
          <w:rFonts w:ascii="Times New Roman" w:hAnsi="Times New Roman" w:cs="Times New Roman"/>
          <w:sz w:val="28"/>
          <w:szCs w:val="28"/>
        </w:rPr>
        <w:t xml:space="preserve">итанням тлумачення </w:t>
      </w:r>
      <w:r w:rsidRPr="00FA23DA">
        <w:rPr>
          <w:rFonts w:ascii="Times New Roman" w:hAnsi="Times New Roman" w:cs="Times New Roman"/>
          <w:sz w:val="28"/>
          <w:szCs w:val="28"/>
        </w:rPr>
        <w:t xml:space="preserve">норм </w:t>
      </w:r>
      <w:r w:rsidR="00A3168F" w:rsidRPr="00FA23DA">
        <w:rPr>
          <w:rFonts w:ascii="Times New Roman" w:hAnsi="Times New Roman" w:cs="Times New Roman"/>
          <w:sz w:val="28"/>
          <w:szCs w:val="28"/>
        </w:rPr>
        <w:t xml:space="preserve">кримінального права </w:t>
      </w:r>
      <w:r w:rsidRPr="00FA23DA">
        <w:rPr>
          <w:rFonts w:ascii="Times New Roman" w:hAnsi="Times New Roman" w:cs="Times New Roman"/>
          <w:sz w:val="28"/>
          <w:szCs w:val="28"/>
        </w:rPr>
        <w:t>і м</w:t>
      </w:r>
      <w:r w:rsidR="00A3168F" w:rsidRPr="00FA23DA">
        <w:rPr>
          <w:rFonts w:ascii="Times New Roman" w:hAnsi="Times New Roman" w:cs="Times New Roman"/>
          <w:sz w:val="28"/>
          <w:szCs w:val="28"/>
        </w:rPr>
        <w:t>ають у своєму доробку низку робіт</w:t>
      </w:r>
      <w:r w:rsidRPr="00FA23DA">
        <w:rPr>
          <w:rFonts w:ascii="Times New Roman" w:hAnsi="Times New Roman" w:cs="Times New Roman"/>
          <w:sz w:val="28"/>
          <w:szCs w:val="28"/>
        </w:rPr>
        <w:t>.</w:t>
      </w:r>
    </w:p>
    <w:p w14:paraId="59830925" w14:textId="77777777" w:rsidR="007354B0" w:rsidRPr="00FA23DA" w:rsidRDefault="00901B42"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Серед іноземних вчених</w:t>
      </w:r>
      <w:r w:rsidR="007354B0" w:rsidRPr="00FA23DA">
        <w:rPr>
          <w:rFonts w:ascii="Times New Roman" w:hAnsi="Times New Roman" w:cs="Times New Roman"/>
          <w:sz w:val="28"/>
          <w:szCs w:val="28"/>
        </w:rPr>
        <w:t xml:space="preserve"> значну увагу питанню</w:t>
      </w:r>
      <w:r w:rsidRPr="00FA23DA">
        <w:rPr>
          <w:rFonts w:ascii="Times New Roman" w:hAnsi="Times New Roman" w:cs="Times New Roman"/>
          <w:sz w:val="28"/>
          <w:szCs w:val="28"/>
        </w:rPr>
        <w:t xml:space="preserve"> тлумачення норм кримінального права приділяв Р. </w:t>
      </w:r>
      <w:proofErr w:type="spellStart"/>
      <w:r w:rsidRPr="00FA23DA">
        <w:rPr>
          <w:rFonts w:ascii="Times New Roman" w:hAnsi="Times New Roman" w:cs="Times New Roman"/>
          <w:sz w:val="28"/>
          <w:szCs w:val="28"/>
        </w:rPr>
        <w:t>Дворкін</w:t>
      </w:r>
      <w:proofErr w:type="spellEnd"/>
      <w:r w:rsidRPr="00FA23DA">
        <w:rPr>
          <w:rFonts w:ascii="Times New Roman" w:hAnsi="Times New Roman" w:cs="Times New Roman"/>
          <w:sz w:val="28"/>
          <w:szCs w:val="28"/>
        </w:rPr>
        <w:t xml:space="preserve">. </w:t>
      </w:r>
      <w:r w:rsidR="007354B0" w:rsidRPr="00FA23DA">
        <w:rPr>
          <w:rFonts w:ascii="Times New Roman" w:hAnsi="Times New Roman" w:cs="Times New Roman"/>
          <w:sz w:val="28"/>
          <w:szCs w:val="28"/>
        </w:rPr>
        <w:t>Водночас, це питання активно досліджують</w:t>
      </w:r>
      <w:r w:rsidRPr="00FA23DA">
        <w:rPr>
          <w:rFonts w:ascii="Times New Roman" w:hAnsi="Times New Roman" w:cs="Times New Roman"/>
          <w:sz w:val="28"/>
          <w:szCs w:val="28"/>
        </w:rPr>
        <w:t xml:space="preserve"> </w:t>
      </w:r>
      <w:proofErr w:type="spellStart"/>
      <w:r w:rsidRPr="00FA23DA">
        <w:rPr>
          <w:rFonts w:ascii="Times New Roman" w:hAnsi="Times New Roman" w:cs="Times New Roman"/>
          <w:sz w:val="28"/>
          <w:szCs w:val="28"/>
        </w:rPr>
        <w:t>Дж</w:t>
      </w:r>
      <w:proofErr w:type="spellEnd"/>
      <w:r w:rsidRPr="00FA23DA">
        <w:rPr>
          <w:rFonts w:ascii="Times New Roman" w:hAnsi="Times New Roman" w:cs="Times New Roman"/>
          <w:sz w:val="28"/>
          <w:szCs w:val="28"/>
        </w:rPr>
        <w:t xml:space="preserve">. </w:t>
      </w:r>
      <w:proofErr w:type="spellStart"/>
      <w:r w:rsidRPr="00FA23DA">
        <w:rPr>
          <w:rFonts w:ascii="Times New Roman" w:hAnsi="Times New Roman" w:cs="Times New Roman"/>
          <w:sz w:val="28"/>
          <w:szCs w:val="28"/>
        </w:rPr>
        <w:t>Флетчер</w:t>
      </w:r>
      <w:proofErr w:type="spellEnd"/>
      <w:r w:rsidR="007354B0" w:rsidRPr="00FA23DA">
        <w:rPr>
          <w:rFonts w:ascii="Times New Roman" w:hAnsi="Times New Roman" w:cs="Times New Roman"/>
          <w:sz w:val="28"/>
          <w:szCs w:val="28"/>
        </w:rPr>
        <w:t xml:space="preserve">, К. </w:t>
      </w:r>
      <w:proofErr w:type="spellStart"/>
      <w:r w:rsidR="007354B0" w:rsidRPr="00FA23DA">
        <w:rPr>
          <w:rFonts w:ascii="Times New Roman" w:hAnsi="Times New Roman" w:cs="Times New Roman"/>
          <w:sz w:val="28"/>
          <w:szCs w:val="28"/>
        </w:rPr>
        <w:t>Роземонд</w:t>
      </w:r>
      <w:proofErr w:type="spellEnd"/>
      <w:r w:rsidR="007354B0" w:rsidRPr="00FA23DA">
        <w:rPr>
          <w:rFonts w:ascii="Times New Roman" w:hAnsi="Times New Roman" w:cs="Times New Roman"/>
          <w:sz w:val="28"/>
          <w:szCs w:val="28"/>
        </w:rPr>
        <w:t xml:space="preserve">, Б. </w:t>
      </w:r>
      <w:proofErr w:type="spellStart"/>
      <w:r w:rsidR="007354B0" w:rsidRPr="00FA23DA">
        <w:rPr>
          <w:rFonts w:ascii="Times New Roman" w:hAnsi="Times New Roman" w:cs="Times New Roman"/>
          <w:sz w:val="28"/>
          <w:szCs w:val="28"/>
        </w:rPr>
        <w:t>Янсен</w:t>
      </w:r>
      <w:proofErr w:type="spellEnd"/>
      <w:r w:rsidR="007354B0" w:rsidRPr="00FA23DA">
        <w:rPr>
          <w:rFonts w:ascii="Times New Roman" w:hAnsi="Times New Roman" w:cs="Times New Roman"/>
          <w:sz w:val="28"/>
          <w:szCs w:val="28"/>
        </w:rPr>
        <w:t xml:space="preserve">, Д. Канале та </w:t>
      </w:r>
      <w:proofErr w:type="spellStart"/>
      <w:r w:rsidR="007354B0" w:rsidRPr="00FA23DA">
        <w:rPr>
          <w:rFonts w:ascii="Times New Roman" w:hAnsi="Times New Roman" w:cs="Times New Roman"/>
          <w:sz w:val="28"/>
          <w:szCs w:val="28"/>
        </w:rPr>
        <w:t>Дж</w:t>
      </w:r>
      <w:proofErr w:type="spellEnd"/>
      <w:r w:rsidR="007354B0" w:rsidRPr="00FA23DA">
        <w:rPr>
          <w:rFonts w:ascii="Times New Roman" w:hAnsi="Times New Roman" w:cs="Times New Roman"/>
          <w:sz w:val="28"/>
          <w:szCs w:val="28"/>
        </w:rPr>
        <w:t xml:space="preserve">. </w:t>
      </w:r>
      <w:proofErr w:type="spellStart"/>
      <w:r w:rsidR="007354B0" w:rsidRPr="00FA23DA">
        <w:rPr>
          <w:rFonts w:ascii="Times New Roman" w:hAnsi="Times New Roman" w:cs="Times New Roman"/>
          <w:sz w:val="28"/>
          <w:szCs w:val="28"/>
        </w:rPr>
        <w:t>Тузет</w:t>
      </w:r>
      <w:proofErr w:type="spellEnd"/>
      <w:r w:rsidR="007354B0" w:rsidRPr="00FA23DA">
        <w:rPr>
          <w:rFonts w:ascii="Times New Roman" w:hAnsi="Times New Roman" w:cs="Times New Roman"/>
          <w:sz w:val="28"/>
          <w:szCs w:val="28"/>
        </w:rPr>
        <w:t>.</w:t>
      </w:r>
    </w:p>
    <w:p w14:paraId="1302B227" w14:textId="77777777" w:rsidR="007354B0" w:rsidRPr="00FA23DA" w:rsidRDefault="00E91BEA"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Однак, варто додати, що питання тлумачення норм кримінального права має багато аспектів, які потребують подальших досліджень. Зокрема, варто зосередити свою увагу на розширювальному тлумаченні у кримінальному праві.</w:t>
      </w:r>
    </w:p>
    <w:p w14:paraId="6979303F" w14:textId="77777777" w:rsidR="00F25127" w:rsidRPr="00FA23DA" w:rsidRDefault="00A17B1B"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b/>
          <w:sz w:val="28"/>
          <w:szCs w:val="28"/>
        </w:rPr>
        <w:t>Виклад основного матеріалу.</w:t>
      </w:r>
      <w:r w:rsidR="009943B3" w:rsidRPr="00FA23DA">
        <w:rPr>
          <w:rFonts w:ascii="Times New Roman" w:hAnsi="Times New Roman" w:cs="Times New Roman"/>
          <w:b/>
          <w:sz w:val="28"/>
          <w:szCs w:val="28"/>
        </w:rPr>
        <w:t xml:space="preserve"> </w:t>
      </w:r>
      <w:r w:rsidR="00F25127" w:rsidRPr="00FA23DA">
        <w:rPr>
          <w:rFonts w:ascii="Times New Roman" w:hAnsi="Times New Roman" w:cs="Times New Roman"/>
          <w:sz w:val="28"/>
          <w:szCs w:val="28"/>
        </w:rPr>
        <w:t xml:space="preserve">Історія розвитку поняття «тлумачення» сягає своїм корінням ще античних часів – Стародавнього Риму та Стародавньої Греції. </w:t>
      </w:r>
      <w:r w:rsidR="00CC75F7" w:rsidRPr="00FA23DA">
        <w:rPr>
          <w:rFonts w:ascii="Times New Roman" w:hAnsi="Times New Roman" w:cs="Times New Roman"/>
          <w:sz w:val="28"/>
          <w:szCs w:val="28"/>
        </w:rPr>
        <w:t xml:space="preserve">Античні філософи </w:t>
      </w:r>
      <w:r w:rsidR="006A384C" w:rsidRPr="00FA23DA">
        <w:rPr>
          <w:rFonts w:ascii="Times New Roman" w:hAnsi="Times New Roman" w:cs="Times New Roman"/>
          <w:sz w:val="28"/>
          <w:szCs w:val="28"/>
        </w:rPr>
        <w:t xml:space="preserve">у своїх працях викладали власні роздуми щодо різних явищ та надавали їм власну інтерпретацію. </w:t>
      </w:r>
      <w:r w:rsidR="00B67192" w:rsidRPr="00FA23DA">
        <w:rPr>
          <w:rFonts w:ascii="Times New Roman" w:hAnsi="Times New Roman" w:cs="Times New Roman"/>
          <w:sz w:val="28"/>
          <w:szCs w:val="28"/>
        </w:rPr>
        <w:t>У тому числі</w:t>
      </w:r>
      <w:r w:rsidR="006A384C" w:rsidRPr="00FA23DA">
        <w:rPr>
          <w:rFonts w:ascii="Times New Roman" w:hAnsi="Times New Roman" w:cs="Times New Roman"/>
          <w:sz w:val="28"/>
          <w:szCs w:val="28"/>
        </w:rPr>
        <w:t>, філософи розмірковували та надавали власне пояснення поняттю «справедливість».</w:t>
      </w:r>
      <w:r w:rsidR="00B67192" w:rsidRPr="00FA23DA">
        <w:rPr>
          <w:rFonts w:ascii="Times New Roman" w:hAnsi="Times New Roman" w:cs="Times New Roman"/>
          <w:sz w:val="28"/>
          <w:szCs w:val="28"/>
        </w:rPr>
        <w:t xml:space="preserve"> Серед них були Платон («Держава», «Закони», «Політик), </w:t>
      </w:r>
      <w:proofErr w:type="spellStart"/>
      <w:r w:rsidR="00B67192" w:rsidRPr="00FA23DA">
        <w:rPr>
          <w:rFonts w:ascii="Times New Roman" w:hAnsi="Times New Roman" w:cs="Times New Roman"/>
          <w:sz w:val="28"/>
          <w:szCs w:val="28"/>
        </w:rPr>
        <w:t>Арістотель</w:t>
      </w:r>
      <w:proofErr w:type="spellEnd"/>
      <w:r w:rsidR="00B67192" w:rsidRPr="00FA23DA">
        <w:rPr>
          <w:rFonts w:ascii="Times New Roman" w:hAnsi="Times New Roman" w:cs="Times New Roman"/>
          <w:sz w:val="28"/>
          <w:szCs w:val="28"/>
        </w:rPr>
        <w:t xml:space="preserve"> («Політика»), Цицерон («Про державу», «Про закони», «Про природу богів»).</w:t>
      </w:r>
    </w:p>
    <w:p w14:paraId="693CD5EC" w14:textId="77777777" w:rsidR="00110C81" w:rsidRPr="00FA23DA" w:rsidRDefault="00110C81" w:rsidP="00FA23DA">
      <w:pPr>
        <w:spacing w:after="0" w:line="360" w:lineRule="auto"/>
        <w:ind w:firstLine="709"/>
        <w:jc w:val="both"/>
        <w:rPr>
          <w:rFonts w:ascii="Times New Roman" w:hAnsi="Times New Roman" w:cs="Times New Roman"/>
          <w:b/>
          <w:sz w:val="28"/>
          <w:szCs w:val="28"/>
        </w:rPr>
      </w:pPr>
      <w:r w:rsidRPr="00FA23DA">
        <w:rPr>
          <w:rFonts w:ascii="Times New Roman" w:hAnsi="Times New Roman" w:cs="Times New Roman"/>
          <w:sz w:val="28"/>
          <w:szCs w:val="28"/>
        </w:rPr>
        <w:t xml:space="preserve">Так, зокрема, </w:t>
      </w:r>
      <w:proofErr w:type="spellStart"/>
      <w:r w:rsidRPr="00FA23DA">
        <w:rPr>
          <w:rFonts w:ascii="Times New Roman" w:hAnsi="Times New Roman" w:cs="Times New Roman"/>
          <w:sz w:val="28"/>
          <w:szCs w:val="28"/>
        </w:rPr>
        <w:t>Арістотель</w:t>
      </w:r>
      <w:proofErr w:type="spellEnd"/>
      <w:r w:rsidRPr="00FA23DA">
        <w:rPr>
          <w:rFonts w:ascii="Times New Roman" w:hAnsi="Times New Roman" w:cs="Times New Roman"/>
          <w:sz w:val="28"/>
          <w:szCs w:val="28"/>
        </w:rPr>
        <w:t xml:space="preserve"> писав про верховенство закону, який, на його думку, не виходить від правителя, а навпаки – правитель послуговується такими законами: «…хто вимагає, аби панував закон, очевидно, хоче, щоб панували божество і розум, а хто вимагає, аби панувала людина, проявляє (у своїй </w:t>
      </w:r>
      <w:proofErr w:type="spellStart"/>
      <w:r w:rsidRPr="00FA23DA">
        <w:rPr>
          <w:rFonts w:ascii="Times New Roman" w:hAnsi="Times New Roman" w:cs="Times New Roman"/>
          <w:sz w:val="28"/>
          <w:szCs w:val="28"/>
        </w:rPr>
        <w:t>вимозі</w:t>
      </w:r>
      <w:proofErr w:type="spellEnd"/>
      <w:r w:rsidRPr="00FA23DA">
        <w:rPr>
          <w:rFonts w:ascii="Times New Roman" w:hAnsi="Times New Roman" w:cs="Times New Roman"/>
          <w:sz w:val="28"/>
          <w:szCs w:val="28"/>
        </w:rPr>
        <w:t>) певне дикунство; бо пристрасть саме і є таким (чимось тваринячим), до того ж вона зводить навіть найкращих правителів з істинного шляху; навпаки, закон – це розум поза пристрастями і бажаннями».</w:t>
      </w:r>
      <w:r w:rsidRPr="00FA23DA">
        <w:rPr>
          <w:rStyle w:val="FootnoteReference"/>
          <w:rFonts w:ascii="Times New Roman" w:hAnsi="Times New Roman" w:cs="Times New Roman"/>
          <w:sz w:val="28"/>
          <w:szCs w:val="28"/>
        </w:rPr>
        <w:footnoteReference w:id="1"/>
      </w:r>
    </w:p>
    <w:p w14:paraId="5DE7B44C" w14:textId="77777777" w:rsidR="007E566C" w:rsidRPr="00FA23DA" w:rsidRDefault="00B67192"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lastRenderedPageBreak/>
        <w:t xml:space="preserve">У свою чергу, </w:t>
      </w:r>
      <w:r w:rsidR="007E566C" w:rsidRPr="00FA23DA">
        <w:rPr>
          <w:rFonts w:ascii="Times New Roman" w:hAnsi="Times New Roman" w:cs="Times New Roman"/>
          <w:sz w:val="28"/>
          <w:szCs w:val="28"/>
        </w:rPr>
        <w:t>доба Середньовіччя характеризується значним зростанням ролі релігії у всіх сферах життя, тому тлумачення у більшій мірі застосовується до теологічних текстів, а не права. Однак, тлумачення знаходило своє застосування і у світському житті. Середньовічні правителі використовували юристів та їхнє вміння надавати тлумачення для обґрунтування своєї необмеженої влади. Тлумаченню піддавався закон «</w:t>
      </w:r>
      <w:r w:rsidR="007E566C" w:rsidRPr="00FA23DA">
        <w:rPr>
          <w:rFonts w:ascii="Times New Roman" w:hAnsi="Times New Roman" w:cs="Times New Roman"/>
          <w:sz w:val="28"/>
          <w:szCs w:val="28"/>
          <w:lang w:val="en-US"/>
        </w:rPr>
        <w:t>lex</w:t>
      </w:r>
      <w:r w:rsidR="007E566C" w:rsidRPr="00FA23DA">
        <w:rPr>
          <w:rFonts w:ascii="Times New Roman" w:hAnsi="Times New Roman" w:cs="Times New Roman"/>
          <w:sz w:val="28"/>
          <w:szCs w:val="28"/>
          <w:lang w:val="ru-RU"/>
        </w:rPr>
        <w:t xml:space="preserve"> </w:t>
      </w:r>
      <w:r w:rsidR="007E566C" w:rsidRPr="00FA23DA">
        <w:rPr>
          <w:rFonts w:ascii="Times New Roman" w:hAnsi="Times New Roman" w:cs="Times New Roman"/>
          <w:sz w:val="28"/>
          <w:szCs w:val="28"/>
          <w:lang w:val="en-US"/>
        </w:rPr>
        <w:t>regia</w:t>
      </w:r>
      <w:r w:rsidR="007E566C" w:rsidRPr="00FA23DA">
        <w:rPr>
          <w:rFonts w:ascii="Times New Roman" w:hAnsi="Times New Roman" w:cs="Times New Roman"/>
          <w:sz w:val="28"/>
          <w:szCs w:val="28"/>
        </w:rPr>
        <w:t>», за яким верховна влада та суверенітет добровільно перед</w:t>
      </w:r>
      <w:r w:rsidR="005B4097" w:rsidRPr="00FA23DA">
        <w:rPr>
          <w:rFonts w:ascii="Times New Roman" w:hAnsi="Times New Roman" w:cs="Times New Roman"/>
          <w:sz w:val="28"/>
          <w:szCs w:val="28"/>
        </w:rPr>
        <w:t>авалися від народу до правителя</w:t>
      </w:r>
      <w:r w:rsidR="007E566C" w:rsidRPr="00FA23DA">
        <w:rPr>
          <w:rFonts w:ascii="Times New Roman" w:hAnsi="Times New Roman" w:cs="Times New Roman"/>
          <w:sz w:val="28"/>
          <w:szCs w:val="28"/>
        </w:rPr>
        <w:t>.</w:t>
      </w:r>
      <w:r w:rsidR="00110C81" w:rsidRPr="00FA23DA">
        <w:rPr>
          <w:rFonts w:ascii="Times New Roman" w:hAnsi="Times New Roman" w:cs="Times New Roman"/>
          <w:sz w:val="28"/>
          <w:szCs w:val="28"/>
        </w:rPr>
        <w:t xml:space="preserve"> Як зазначалося, передана влада від народу до правителя була незворотною. Свою позицію юристи підкріплювали посиланням на </w:t>
      </w:r>
      <w:proofErr w:type="spellStart"/>
      <w:r w:rsidR="00110C81" w:rsidRPr="00FA23DA">
        <w:rPr>
          <w:rFonts w:ascii="Times New Roman" w:hAnsi="Times New Roman" w:cs="Times New Roman"/>
          <w:sz w:val="28"/>
          <w:szCs w:val="28"/>
        </w:rPr>
        <w:t>Ульпіана</w:t>
      </w:r>
      <w:proofErr w:type="spellEnd"/>
      <w:r w:rsidR="00110C81" w:rsidRPr="00FA23DA">
        <w:rPr>
          <w:rFonts w:ascii="Times New Roman" w:hAnsi="Times New Roman" w:cs="Times New Roman"/>
          <w:sz w:val="28"/>
          <w:szCs w:val="28"/>
        </w:rPr>
        <w:t>, який зазначав: «Те, що до вподоби князя, має силу закону, оскільки з королівським законом, який був прийнятий про його правління, народ передає йому і в ньому всю свою владу і силу».</w:t>
      </w:r>
      <w:r w:rsidR="00110C81" w:rsidRPr="00FA23DA">
        <w:rPr>
          <w:rStyle w:val="FootnoteReference"/>
          <w:rFonts w:ascii="Times New Roman" w:hAnsi="Times New Roman" w:cs="Times New Roman"/>
          <w:sz w:val="28"/>
          <w:szCs w:val="28"/>
        </w:rPr>
        <w:footnoteReference w:id="2"/>
      </w:r>
    </w:p>
    <w:p w14:paraId="1CFCA13A" w14:textId="77777777" w:rsidR="00B67192" w:rsidRPr="00FA23DA" w:rsidRDefault="007E566C" w:rsidP="00FA23DA">
      <w:pPr>
        <w:spacing w:after="0" w:line="360" w:lineRule="auto"/>
        <w:ind w:firstLine="709"/>
        <w:jc w:val="both"/>
        <w:rPr>
          <w:rFonts w:ascii="Times New Roman" w:hAnsi="Times New Roman" w:cs="Times New Roman"/>
          <w:sz w:val="28"/>
          <w:szCs w:val="28"/>
          <w:lang w:val="ru-RU"/>
        </w:rPr>
      </w:pPr>
      <w:r w:rsidRPr="00FA23DA">
        <w:rPr>
          <w:rFonts w:ascii="Times New Roman" w:hAnsi="Times New Roman" w:cs="Times New Roman"/>
          <w:sz w:val="28"/>
          <w:szCs w:val="28"/>
        </w:rPr>
        <w:t xml:space="preserve">З настанням доби Ренесансу застосування тлумачення набуло свого нового розвитку. У цей період зародилося багато нових шкіл з новими підходами та практиками, які зверталися до спадку юристів і філософів Стародавнього Риму та Стародавньої Греції. Предметом тлумачення у цей період стають не лише закони, а і теологічні, літературні, історичні тексти, а також починає застосовуватися </w:t>
      </w:r>
      <w:proofErr w:type="spellStart"/>
      <w:r w:rsidRPr="00FA23DA">
        <w:rPr>
          <w:rFonts w:ascii="Times New Roman" w:hAnsi="Times New Roman" w:cs="Times New Roman"/>
          <w:sz w:val="28"/>
          <w:szCs w:val="28"/>
        </w:rPr>
        <w:t>загальнофілософський</w:t>
      </w:r>
      <w:proofErr w:type="spellEnd"/>
      <w:r w:rsidRPr="00FA23DA">
        <w:rPr>
          <w:rFonts w:ascii="Times New Roman" w:hAnsi="Times New Roman" w:cs="Times New Roman"/>
          <w:sz w:val="28"/>
          <w:szCs w:val="28"/>
        </w:rPr>
        <w:t xml:space="preserve">, </w:t>
      </w:r>
      <w:proofErr w:type="spellStart"/>
      <w:r w:rsidRPr="00FA23DA">
        <w:rPr>
          <w:rFonts w:ascii="Times New Roman" w:hAnsi="Times New Roman" w:cs="Times New Roman"/>
          <w:sz w:val="28"/>
          <w:szCs w:val="28"/>
        </w:rPr>
        <w:t>філософсько-герменевтичний</w:t>
      </w:r>
      <w:proofErr w:type="spellEnd"/>
      <w:r w:rsidRPr="00FA23DA">
        <w:rPr>
          <w:rFonts w:ascii="Times New Roman" w:hAnsi="Times New Roman" w:cs="Times New Roman"/>
          <w:sz w:val="28"/>
          <w:szCs w:val="28"/>
        </w:rPr>
        <w:t xml:space="preserve"> підхід. Як зазначає </w:t>
      </w:r>
      <w:proofErr w:type="spellStart"/>
      <w:r w:rsidRPr="00FA23DA">
        <w:rPr>
          <w:rFonts w:ascii="Times New Roman" w:hAnsi="Times New Roman" w:cs="Times New Roman"/>
          <w:sz w:val="28"/>
          <w:szCs w:val="28"/>
        </w:rPr>
        <w:t>Маклін</w:t>
      </w:r>
      <w:proofErr w:type="spellEnd"/>
      <w:r w:rsidRPr="00FA23DA">
        <w:rPr>
          <w:rFonts w:ascii="Times New Roman" w:hAnsi="Times New Roman" w:cs="Times New Roman"/>
          <w:sz w:val="28"/>
          <w:szCs w:val="28"/>
        </w:rPr>
        <w:t xml:space="preserve">, тлумачення у цей період зводилося до відтворення, оскільки питання </w:t>
      </w:r>
      <w:proofErr w:type="spellStart"/>
      <w:r w:rsidRPr="00FA23DA">
        <w:rPr>
          <w:rFonts w:ascii="Times New Roman" w:hAnsi="Times New Roman" w:cs="Times New Roman"/>
          <w:sz w:val="28"/>
          <w:szCs w:val="28"/>
        </w:rPr>
        <w:t>нормотворення</w:t>
      </w:r>
      <w:proofErr w:type="spellEnd"/>
      <w:r w:rsidRPr="00FA23DA">
        <w:rPr>
          <w:rFonts w:ascii="Times New Roman" w:hAnsi="Times New Roman" w:cs="Times New Roman"/>
          <w:sz w:val="28"/>
          <w:szCs w:val="28"/>
        </w:rPr>
        <w:t xml:space="preserve"> ще активно не підіймалося.</w:t>
      </w:r>
      <w:r w:rsidRPr="00FA23DA">
        <w:rPr>
          <w:rStyle w:val="FootnoteReference"/>
          <w:rFonts w:ascii="Times New Roman" w:hAnsi="Times New Roman" w:cs="Times New Roman"/>
          <w:sz w:val="28"/>
          <w:szCs w:val="28"/>
        </w:rPr>
        <w:footnoteReference w:id="3"/>
      </w:r>
    </w:p>
    <w:p w14:paraId="22C1EAD7" w14:textId="77777777" w:rsidR="007E566C" w:rsidRPr="00FA23DA" w:rsidRDefault="007E566C"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Розвиток тлумачення відбувався також і впродовж тривалого часу в українській історії. Про це варто говорити, починаючи з історії Київської Держави. Так, з прийняттям християнства у суспільства змінилися погляди на багато речей. Відбулося часткове змішання традицій, які існували на цих землях </w:t>
      </w:r>
      <w:r w:rsidRPr="00FA23DA">
        <w:rPr>
          <w:rFonts w:ascii="Times New Roman" w:hAnsi="Times New Roman" w:cs="Times New Roman"/>
          <w:sz w:val="28"/>
          <w:szCs w:val="28"/>
        </w:rPr>
        <w:lastRenderedPageBreak/>
        <w:t>протягом минулих століть, та нової християнської ідеології. Це отримало своє відображення і у розвитку тлумачення на території сучасної України.</w:t>
      </w:r>
      <w:r w:rsidRPr="00FA23DA">
        <w:rPr>
          <w:rStyle w:val="FootnoteReference"/>
          <w:rFonts w:ascii="Times New Roman" w:hAnsi="Times New Roman" w:cs="Times New Roman"/>
          <w:sz w:val="28"/>
          <w:szCs w:val="28"/>
        </w:rPr>
        <w:footnoteReference w:id="4"/>
      </w:r>
    </w:p>
    <w:p w14:paraId="045AF980" w14:textId="77777777" w:rsidR="007E566C" w:rsidRPr="00FA23DA" w:rsidRDefault="007E566C"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Здійснення тлумачення можна простежити у багатьох давньоруських джерелах, серед яких: «Слово про Закон і Благодать» митрополита Іларіона, «Успенській збірник», «Моління» Даниїла </w:t>
      </w:r>
      <w:proofErr w:type="spellStart"/>
      <w:r w:rsidRPr="00FA23DA">
        <w:rPr>
          <w:rFonts w:ascii="Times New Roman" w:hAnsi="Times New Roman" w:cs="Times New Roman"/>
          <w:sz w:val="28"/>
          <w:szCs w:val="28"/>
        </w:rPr>
        <w:t>Заточника</w:t>
      </w:r>
      <w:proofErr w:type="spellEnd"/>
      <w:r w:rsidRPr="00FA23DA">
        <w:rPr>
          <w:rFonts w:ascii="Times New Roman" w:hAnsi="Times New Roman" w:cs="Times New Roman"/>
          <w:sz w:val="28"/>
          <w:szCs w:val="28"/>
        </w:rPr>
        <w:t xml:space="preserve">, «Слова» Кирила Туровського, «Послання» Клима </w:t>
      </w:r>
      <w:proofErr w:type="spellStart"/>
      <w:r w:rsidRPr="00FA23DA">
        <w:rPr>
          <w:rFonts w:ascii="Times New Roman" w:hAnsi="Times New Roman" w:cs="Times New Roman"/>
          <w:sz w:val="28"/>
          <w:szCs w:val="28"/>
        </w:rPr>
        <w:t>Смолятича</w:t>
      </w:r>
      <w:proofErr w:type="spellEnd"/>
      <w:r w:rsidRPr="00FA23DA">
        <w:rPr>
          <w:rFonts w:ascii="Times New Roman" w:hAnsi="Times New Roman" w:cs="Times New Roman"/>
          <w:sz w:val="28"/>
          <w:szCs w:val="28"/>
        </w:rPr>
        <w:t>, «Повчання» Володимира Мономаха, «Житіє» Бориса і Гліба, «Вчення» Кирила Новгородця, «Повість минулих літ», «Руська правда» та інші.</w:t>
      </w:r>
      <w:r w:rsidRPr="00FA23DA">
        <w:rPr>
          <w:rStyle w:val="FootnoteReference"/>
          <w:rFonts w:ascii="Times New Roman" w:hAnsi="Times New Roman" w:cs="Times New Roman"/>
          <w:sz w:val="28"/>
          <w:szCs w:val="28"/>
        </w:rPr>
        <w:footnoteReference w:id="5"/>
      </w:r>
    </w:p>
    <w:p w14:paraId="31224A3D" w14:textId="77777777" w:rsidR="00110C81" w:rsidRPr="00FA23DA" w:rsidRDefault="00110C81"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Митрополит Іларіон був одним із перших, хто на території сучасної України здійснював тлумачення на такому рівні. У своїх працях він, зокрема, описував співвідношення понять «закон» і «благодать». «Закон» Іларіон порівнював із рабством, а «благодать» – із свободою, співвідносячи їх, як єдність теперішнього (те, що існує зараз) та потенційного (те, що може існувати у майбутньому), що змінюють одне одного.</w:t>
      </w:r>
      <w:r w:rsidRPr="00FA23DA">
        <w:rPr>
          <w:rStyle w:val="FootnoteReference"/>
          <w:rFonts w:ascii="Times New Roman" w:hAnsi="Times New Roman" w:cs="Times New Roman"/>
          <w:sz w:val="28"/>
          <w:szCs w:val="28"/>
        </w:rPr>
        <w:footnoteReference w:id="6"/>
      </w:r>
    </w:p>
    <w:p w14:paraId="0B86DC7B" w14:textId="77777777" w:rsidR="007E566C" w:rsidRPr="00FA23DA" w:rsidRDefault="007E566C"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Упродовж періоду розвитку тлумачення історія знала випадки, коли така діяльність сприймалася негативно. Так, візантійський імператор Юстиніан заборонив тлумачити свої </w:t>
      </w:r>
      <w:proofErr w:type="spellStart"/>
      <w:r w:rsidRPr="00FA23DA">
        <w:rPr>
          <w:rFonts w:ascii="Times New Roman" w:hAnsi="Times New Roman" w:cs="Times New Roman"/>
          <w:sz w:val="28"/>
          <w:szCs w:val="28"/>
        </w:rPr>
        <w:t>Дигести</w:t>
      </w:r>
      <w:proofErr w:type="spellEnd"/>
      <w:r w:rsidRPr="00FA23DA">
        <w:rPr>
          <w:rFonts w:ascii="Times New Roman" w:hAnsi="Times New Roman" w:cs="Times New Roman"/>
          <w:sz w:val="28"/>
          <w:szCs w:val="28"/>
        </w:rPr>
        <w:t>, вказуючи на те, що вони належним чином регулюють усі питання і не залишають підстав для сумнівів. Юстиніан вважав, що робота юристів щодо тлумачення правових норм негативно впливає на їх ефективне застосування, оскільки нагромад</w:t>
      </w:r>
      <w:r w:rsidR="005B4097" w:rsidRPr="00FA23DA">
        <w:rPr>
          <w:rFonts w:ascii="Times New Roman" w:hAnsi="Times New Roman" w:cs="Times New Roman"/>
          <w:sz w:val="28"/>
          <w:szCs w:val="28"/>
        </w:rPr>
        <w:t>жує стислі норми зайвим текстом</w:t>
      </w:r>
      <w:r w:rsidRPr="00FA23DA">
        <w:rPr>
          <w:rFonts w:ascii="Times New Roman" w:hAnsi="Times New Roman" w:cs="Times New Roman"/>
          <w:sz w:val="28"/>
          <w:szCs w:val="28"/>
        </w:rPr>
        <w:t>.</w:t>
      </w:r>
      <w:r w:rsidRPr="00FA23DA">
        <w:rPr>
          <w:rStyle w:val="FootnoteReference"/>
          <w:rFonts w:ascii="Times New Roman" w:hAnsi="Times New Roman" w:cs="Times New Roman"/>
          <w:sz w:val="28"/>
          <w:szCs w:val="28"/>
        </w:rPr>
        <w:footnoteReference w:id="7"/>
      </w:r>
      <w:r w:rsidR="00110C81" w:rsidRPr="00FA23DA">
        <w:rPr>
          <w:rFonts w:ascii="Times New Roman" w:hAnsi="Times New Roman" w:cs="Times New Roman"/>
          <w:sz w:val="28"/>
          <w:szCs w:val="28"/>
        </w:rPr>
        <w:t xml:space="preserve"> Під час видання «</w:t>
      </w:r>
      <w:proofErr w:type="spellStart"/>
      <w:r w:rsidR="00110C81" w:rsidRPr="00FA23DA">
        <w:rPr>
          <w:rFonts w:ascii="Times New Roman" w:hAnsi="Times New Roman" w:cs="Times New Roman"/>
          <w:sz w:val="28"/>
          <w:szCs w:val="28"/>
        </w:rPr>
        <w:t>Corpus</w:t>
      </w:r>
      <w:proofErr w:type="spellEnd"/>
      <w:r w:rsidR="00110C81" w:rsidRPr="00FA23DA">
        <w:rPr>
          <w:rFonts w:ascii="Times New Roman" w:hAnsi="Times New Roman" w:cs="Times New Roman"/>
          <w:sz w:val="28"/>
          <w:szCs w:val="28"/>
        </w:rPr>
        <w:t xml:space="preserve"> </w:t>
      </w:r>
      <w:proofErr w:type="spellStart"/>
      <w:r w:rsidR="00110C81" w:rsidRPr="00FA23DA">
        <w:rPr>
          <w:rFonts w:ascii="Times New Roman" w:hAnsi="Times New Roman" w:cs="Times New Roman"/>
          <w:sz w:val="28"/>
          <w:szCs w:val="28"/>
        </w:rPr>
        <w:t>juris</w:t>
      </w:r>
      <w:proofErr w:type="spellEnd"/>
      <w:r w:rsidR="00110C81" w:rsidRPr="00FA23DA">
        <w:rPr>
          <w:rFonts w:ascii="Times New Roman" w:hAnsi="Times New Roman" w:cs="Times New Roman"/>
          <w:sz w:val="28"/>
          <w:szCs w:val="28"/>
        </w:rPr>
        <w:t xml:space="preserve"> </w:t>
      </w:r>
      <w:proofErr w:type="spellStart"/>
      <w:r w:rsidR="00110C81" w:rsidRPr="00FA23DA">
        <w:rPr>
          <w:rFonts w:ascii="Times New Roman" w:hAnsi="Times New Roman" w:cs="Times New Roman"/>
          <w:sz w:val="28"/>
          <w:szCs w:val="28"/>
        </w:rPr>
        <w:t>civilis</w:t>
      </w:r>
      <w:proofErr w:type="spellEnd"/>
      <w:r w:rsidR="00110C81" w:rsidRPr="00FA23DA">
        <w:rPr>
          <w:rFonts w:ascii="Times New Roman" w:hAnsi="Times New Roman" w:cs="Times New Roman"/>
          <w:sz w:val="28"/>
          <w:szCs w:val="28"/>
        </w:rPr>
        <w:t>» Юстиніан наказав, щоб у разі наявності будь-яких сумнівів суди зверталися за роз’ясненням норм до нього самого.</w:t>
      </w:r>
      <w:r w:rsidR="00110C81" w:rsidRPr="00FA23DA">
        <w:rPr>
          <w:rStyle w:val="FootnoteReference"/>
          <w:rFonts w:ascii="Times New Roman" w:hAnsi="Times New Roman" w:cs="Times New Roman"/>
          <w:sz w:val="28"/>
          <w:szCs w:val="28"/>
        </w:rPr>
        <w:footnoteReference w:id="8"/>
      </w:r>
    </w:p>
    <w:p w14:paraId="4FC517C0" w14:textId="77777777" w:rsidR="007E566C" w:rsidRPr="00FA23DA" w:rsidRDefault="007E566C"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Упродовж </w:t>
      </w:r>
      <w:r w:rsidRPr="00FA23DA">
        <w:rPr>
          <w:rFonts w:ascii="Times New Roman" w:hAnsi="Times New Roman" w:cs="Times New Roman"/>
          <w:sz w:val="28"/>
          <w:szCs w:val="28"/>
          <w:lang w:val="en-US"/>
        </w:rPr>
        <w:t>XVII</w:t>
      </w:r>
      <w:r w:rsidRPr="00FA23DA">
        <w:rPr>
          <w:rFonts w:ascii="Times New Roman" w:hAnsi="Times New Roman" w:cs="Times New Roman"/>
          <w:sz w:val="28"/>
          <w:szCs w:val="28"/>
          <w:lang w:val="ru-RU"/>
        </w:rPr>
        <w:t xml:space="preserve"> – </w:t>
      </w:r>
      <w:r w:rsidRPr="00FA23DA">
        <w:rPr>
          <w:rFonts w:ascii="Times New Roman" w:hAnsi="Times New Roman" w:cs="Times New Roman"/>
          <w:sz w:val="28"/>
          <w:szCs w:val="28"/>
          <w:lang w:val="en-US"/>
        </w:rPr>
        <w:t>XIX</w:t>
      </w:r>
      <w:r w:rsidRPr="00FA23DA">
        <w:rPr>
          <w:rFonts w:ascii="Times New Roman" w:hAnsi="Times New Roman" w:cs="Times New Roman"/>
          <w:sz w:val="28"/>
          <w:szCs w:val="28"/>
          <w:lang w:val="ru-RU"/>
        </w:rPr>
        <w:t xml:space="preserve"> </w:t>
      </w:r>
      <w:r w:rsidRPr="00FA23DA">
        <w:rPr>
          <w:rFonts w:ascii="Times New Roman" w:hAnsi="Times New Roman" w:cs="Times New Roman"/>
          <w:sz w:val="28"/>
          <w:szCs w:val="28"/>
        </w:rPr>
        <w:t xml:space="preserve">ст. активно панувала думка про зрозумілість та довершеність закону. Вважалося, що для розуміння закону не потрібно </w:t>
      </w:r>
      <w:r w:rsidRPr="00FA23DA">
        <w:rPr>
          <w:rFonts w:ascii="Times New Roman" w:hAnsi="Times New Roman" w:cs="Times New Roman"/>
          <w:sz w:val="28"/>
          <w:szCs w:val="28"/>
        </w:rPr>
        <w:lastRenderedPageBreak/>
        <w:t>застосовувати будь-які спеціальні знання та навички, а достатньо лише здорового глузду. Саме тоді у доктрині права панував принцип «</w:t>
      </w:r>
      <w:r w:rsidRPr="00FA23DA">
        <w:rPr>
          <w:rFonts w:ascii="Times New Roman" w:hAnsi="Times New Roman" w:cs="Times New Roman"/>
          <w:sz w:val="28"/>
          <w:szCs w:val="28"/>
          <w:lang w:val="en-US"/>
        </w:rPr>
        <w:t>Clara</w:t>
      </w:r>
      <w:r w:rsidRPr="00FA23DA">
        <w:rPr>
          <w:rFonts w:ascii="Times New Roman" w:hAnsi="Times New Roman" w:cs="Times New Roman"/>
          <w:sz w:val="28"/>
          <w:szCs w:val="28"/>
        </w:rPr>
        <w:t xml:space="preserve"> </w:t>
      </w:r>
      <w:r w:rsidRPr="00FA23DA">
        <w:rPr>
          <w:rFonts w:ascii="Times New Roman" w:hAnsi="Times New Roman" w:cs="Times New Roman"/>
          <w:sz w:val="28"/>
          <w:szCs w:val="28"/>
          <w:lang w:val="en-US"/>
        </w:rPr>
        <w:t>non</w:t>
      </w:r>
      <w:r w:rsidRPr="00FA23DA">
        <w:rPr>
          <w:rFonts w:ascii="Times New Roman" w:hAnsi="Times New Roman" w:cs="Times New Roman"/>
          <w:sz w:val="28"/>
          <w:szCs w:val="28"/>
        </w:rPr>
        <w:t xml:space="preserve"> </w:t>
      </w:r>
      <w:r w:rsidRPr="00FA23DA">
        <w:rPr>
          <w:rFonts w:ascii="Times New Roman" w:hAnsi="Times New Roman" w:cs="Times New Roman"/>
          <w:sz w:val="28"/>
          <w:szCs w:val="28"/>
          <w:lang w:val="en-US"/>
        </w:rPr>
        <w:t>sunt</w:t>
      </w:r>
      <w:r w:rsidRPr="00FA23DA">
        <w:rPr>
          <w:rFonts w:ascii="Times New Roman" w:hAnsi="Times New Roman" w:cs="Times New Roman"/>
          <w:sz w:val="28"/>
          <w:szCs w:val="28"/>
        </w:rPr>
        <w:t xml:space="preserve"> </w:t>
      </w:r>
      <w:proofErr w:type="spellStart"/>
      <w:r w:rsidRPr="00FA23DA">
        <w:rPr>
          <w:rFonts w:ascii="Times New Roman" w:hAnsi="Times New Roman" w:cs="Times New Roman"/>
          <w:sz w:val="28"/>
          <w:szCs w:val="28"/>
          <w:lang w:val="en-US"/>
        </w:rPr>
        <w:t>interpretanola</w:t>
      </w:r>
      <w:proofErr w:type="spellEnd"/>
      <w:r w:rsidRPr="00FA23DA">
        <w:rPr>
          <w:rFonts w:ascii="Times New Roman" w:hAnsi="Times New Roman" w:cs="Times New Roman"/>
          <w:sz w:val="28"/>
          <w:szCs w:val="28"/>
        </w:rPr>
        <w:t xml:space="preserve">» («Зрозумілі закони не </w:t>
      </w:r>
      <w:proofErr w:type="spellStart"/>
      <w:r w:rsidRPr="00FA23DA">
        <w:rPr>
          <w:rFonts w:ascii="Times New Roman" w:hAnsi="Times New Roman" w:cs="Times New Roman"/>
          <w:sz w:val="28"/>
          <w:szCs w:val="28"/>
        </w:rPr>
        <w:t>тлумачаться</w:t>
      </w:r>
      <w:proofErr w:type="spellEnd"/>
      <w:r w:rsidRPr="00FA23DA">
        <w:rPr>
          <w:rFonts w:ascii="Times New Roman" w:hAnsi="Times New Roman" w:cs="Times New Roman"/>
          <w:sz w:val="28"/>
          <w:szCs w:val="28"/>
        </w:rPr>
        <w:t>»).</w:t>
      </w:r>
      <w:r w:rsidRPr="00FA23DA">
        <w:rPr>
          <w:rStyle w:val="FootnoteReference"/>
          <w:rFonts w:ascii="Times New Roman" w:hAnsi="Times New Roman" w:cs="Times New Roman"/>
          <w:sz w:val="28"/>
          <w:szCs w:val="28"/>
        </w:rPr>
        <w:footnoteReference w:id="9"/>
      </w:r>
      <w:r w:rsidR="00110C81" w:rsidRPr="00FA23DA">
        <w:rPr>
          <w:rFonts w:ascii="Times New Roman" w:hAnsi="Times New Roman" w:cs="Times New Roman"/>
          <w:sz w:val="28"/>
          <w:szCs w:val="28"/>
        </w:rPr>
        <w:t xml:space="preserve"> </w:t>
      </w:r>
    </w:p>
    <w:p w14:paraId="572CFC03" w14:textId="77777777" w:rsidR="00110C81" w:rsidRPr="00FA23DA" w:rsidRDefault="00110C81"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Промовистим є наведений В. Грабарем факт про Наполеона І Бонапарта, який, дізнавшись про виданий коментар Цивільного кодексу Франції, сказав: «Пропав мій кодекс».</w:t>
      </w:r>
      <w:r w:rsidR="00843D22" w:rsidRPr="00FA23DA">
        <w:rPr>
          <w:rStyle w:val="FootnoteReference"/>
          <w:rFonts w:ascii="Times New Roman" w:hAnsi="Times New Roman" w:cs="Times New Roman"/>
          <w:sz w:val="28"/>
          <w:szCs w:val="28"/>
        </w:rPr>
        <w:footnoteReference w:id="10"/>
      </w:r>
      <w:r w:rsidRPr="00FA23DA">
        <w:rPr>
          <w:rFonts w:ascii="Times New Roman" w:hAnsi="Times New Roman" w:cs="Times New Roman"/>
          <w:sz w:val="28"/>
          <w:szCs w:val="28"/>
        </w:rPr>
        <w:t xml:space="preserve"> У одній зі статей кодексу йшлося: «Суддя, який відмовиться судити з приводу мовчання, темноти або недостатності закону, може підлягати переслідуванню за звинуваченням у відмові в правосудді».</w:t>
      </w:r>
      <w:r w:rsidR="00843D22" w:rsidRPr="00FA23DA">
        <w:rPr>
          <w:rStyle w:val="FootnoteReference"/>
          <w:rFonts w:ascii="Times New Roman" w:hAnsi="Times New Roman" w:cs="Times New Roman"/>
          <w:sz w:val="28"/>
          <w:szCs w:val="28"/>
        </w:rPr>
        <w:footnoteReference w:id="11"/>
      </w:r>
      <w:r w:rsidRPr="00FA23DA">
        <w:rPr>
          <w:rFonts w:ascii="Times New Roman" w:hAnsi="Times New Roman" w:cs="Times New Roman"/>
          <w:sz w:val="28"/>
          <w:szCs w:val="28"/>
        </w:rPr>
        <w:t xml:space="preserve">  Так, вважалося, що кодекс належним чином регулює суспільні відносини і не потребує будь-яких </w:t>
      </w:r>
      <w:proofErr w:type="spellStart"/>
      <w:r w:rsidRPr="00FA23DA">
        <w:rPr>
          <w:rFonts w:ascii="Times New Roman" w:hAnsi="Times New Roman" w:cs="Times New Roman"/>
          <w:sz w:val="28"/>
          <w:szCs w:val="28"/>
        </w:rPr>
        <w:t>втручань</w:t>
      </w:r>
      <w:proofErr w:type="spellEnd"/>
      <w:r w:rsidRPr="00FA23DA">
        <w:rPr>
          <w:rFonts w:ascii="Times New Roman" w:hAnsi="Times New Roman" w:cs="Times New Roman"/>
          <w:sz w:val="28"/>
          <w:szCs w:val="28"/>
        </w:rPr>
        <w:t xml:space="preserve"> чи уточнень.</w:t>
      </w:r>
    </w:p>
    <w:p w14:paraId="73CCE211" w14:textId="77777777" w:rsidR="003755C6" w:rsidRPr="00FA23DA" w:rsidRDefault="00B01C32"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Уже впродовж </w:t>
      </w:r>
      <w:r w:rsidRPr="00FA23DA">
        <w:rPr>
          <w:rFonts w:ascii="Times New Roman" w:hAnsi="Times New Roman" w:cs="Times New Roman"/>
          <w:sz w:val="28"/>
          <w:szCs w:val="28"/>
          <w:lang w:val="en-US"/>
        </w:rPr>
        <w:t>XX</w:t>
      </w:r>
      <w:r w:rsidRPr="00FA23DA">
        <w:rPr>
          <w:rFonts w:ascii="Times New Roman" w:hAnsi="Times New Roman" w:cs="Times New Roman"/>
          <w:sz w:val="28"/>
          <w:szCs w:val="28"/>
          <w:lang w:val="ru-RU"/>
        </w:rPr>
        <w:t xml:space="preserve"> </w:t>
      </w:r>
      <w:r w:rsidRPr="00FA23DA">
        <w:rPr>
          <w:rFonts w:ascii="Times New Roman" w:hAnsi="Times New Roman" w:cs="Times New Roman"/>
          <w:sz w:val="28"/>
          <w:szCs w:val="28"/>
        </w:rPr>
        <w:t xml:space="preserve">– на початку </w:t>
      </w:r>
      <w:r w:rsidRPr="00FA23DA">
        <w:rPr>
          <w:rFonts w:ascii="Times New Roman" w:hAnsi="Times New Roman" w:cs="Times New Roman"/>
          <w:sz w:val="28"/>
          <w:szCs w:val="28"/>
          <w:lang w:val="en-US"/>
        </w:rPr>
        <w:t>XXI</w:t>
      </w:r>
      <w:r w:rsidRPr="00FA23DA">
        <w:rPr>
          <w:rFonts w:ascii="Times New Roman" w:hAnsi="Times New Roman" w:cs="Times New Roman"/>
          <w:sz w:val="28"/>
          <w:szCs w:val="28"/>
          <w:lang w:val="ru-RU"/>
        </w:rPr>
        <w:t xml:space="preserve"> </w:t>
      </w:r>
      <w:r w:rsidRPr="00FA23DA">
        <w:rPr>
          <w:rFonts w:ascii="Times New Roman" w:hAnsi="Times New Roman" w:cs="Times New Roman"/>
          <w:sz w:val="28"/>
          <w:szCs w:val="28"/>
        </w:rPr>
        <w:t>ст. із активним розвитком правової науки тлумачення набуває свого активного використання та дослідження. З розвитком прецедентного права тлумач</w:t>
      </w:r>
      <w:r w:rsidR="005850A9" w:rsidRPr="00FA23DA">
        <w:rPr>
          <w:rFonts w:ascii="Times New Roman" w:hAnsi="Times New Roman" w:cs="Times New Roman"/>
          <w:sz w:val="28"/>
          <w:szCs w:val="28"/>
        </w:rPr>
        <w:t>ення починає розумітися не лише</w:t>
      </w:r>
      <w:r w:rsidRPr="00FA23DA">
        <w:rPr>
          <w:rFonts w:ascii="Times New Roman" w:hAnsi="Times New Roman" w:cs="Times New Roman"/>
          <w:sz w:val="28"/>
          <w:szCs w:val="28"/>
        </w:rPr>
        <w:t xml:space="preserve"> як відтворення права, а й як творення права.</w:t>
      </w:r>
      <w:r w:rsidR="00FA029E" w:rsidRPr="00FA23DA">
        <w:rPr>
          <w:rFonts w:ascii="Times New Roman" w:hAnsi="Times New Roman" w:cs="Times New Roman"/>
          <w:sz w:val="28"/>
          <w:szCs w:val="28"/>
        </w:rPr>
        <w:t xml:space="preserve"> Велика кількість наукових робіт</w:t>
      </w:r>
      <w:r w:rsidR="005B4097" w:rsidRPr="00FA23DA">
        <w:rPr>
          <w:rFonts w:ascii="Times New Roman" w:hAnsi="Times New Roman" w:cs="Times New Roman"/>
          <w:sz w:val="28"/>
          <w:szCs w:val="28"/>
        </w:rPr>
        <w:t>, які створювалися у цей період,</w:t>
      </w:r>
      <w:r w:rsidR="00FA029E" w:rsidRPr="00FA23DA">
        <w:rPr>
          <w:rFonts w:ascii="Times New Roman" w:hAnsi="Times New Roman" w:cs="Times New Roman"/>
          <w:sz w:val="28"/>
          <w:szCs w:val="28"/>
        </w:rPr>
        <w:t xml:space="preserve"> присвячена проблемним питанням тлумачення права. Не винятком буде і </w:t>
      </w:r>
      <w:r w:rsidR="003F06CC" w:rsidRPr="00FA23DA">
        <w:rPr>
          <w:rFonts w:ascii="Times New Roman" w:hAnsi="Times New Roman" w:cs="Times New Roman"/>
          <w:sz w:val="28"/>
          <w:szCs w:val="28"/>
        </w:rPr>
        <w:t xml:space="preserve">ця стаття, у якій ми </w:t>
      </w:r>
      <w:r w:rsidR="005B4097" w:rsidRPr="00FA23DA">
        <w:rPr>
          <w:rFonts w:ascii="Times New Roman" w:hAnsi="Times New Roman" w:cs="Times New Roman"/>
          <w:sz w:val="28"/>
          <w:szCs w:val="28"/>
        </w:rPr>
        <w:t>частково поглянемо на</w:t>
      </w:r>
      <w:r w:rsidR="00FA029E" w:rsidRPr="00FA23DA">
        <w:rPr>
          <w:rFonts w:ascii="Times New Roman" w:hAnsi="Times New Roman" w:cs="Times New Roman"/>
          <w:sz w:val="28"/>
          <w:szCs w:val="28"/>
        </w:rPr>
        <w:t xml:space="preserve"> загальні питання тлумачен</w:t>
      </w:r>
      <w:r w:rsidR="005B4097" w:rsidRPr="00FA23DA">
        <w:rPr>
          <w:rFonts w:ascii="Times New Roman" w:hAnsi="Times New Roman" w:cs="Times New Roman"/>
          <w:sz w:val="28"/>
          <w:szCs w:val="28"/>
        </w:rPr>
        <w:t>ня, а також дослідимо</w:t>
      </w:r>
      <w:r w:rsidR="00FA029E" w:rsidRPr="00FA23DA">
        <w:rPr>
          <w:rFonts w:ascii="Times New Roman" w:hAnsi="Times New Roman" w:cs="Times New Roman"/>
          <w:sz w:val="28"/>
          <w:szCs w:val="28"/>
        </w:rPr>
        <w:t xml:space="preserve"> питання тлумачення у кримінальному праві.</w:t>
      </w:r>
    </w:p>
    <w:p w14:paraId="1609A45C" w14:textId="77777777" w:rsidR="00AA77A9" w:rsidRPr="00FA23DA" w:rsidRDefault="00AA77A9"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З історії тлумачення ми простежуємо як змінюється ставлення </w:t>
      </w:r>
      <w:r w:rsidR="009A2DB9" w:rsidRPr="00FA23DA">
        <w:rPr>
          <w:rFonts w:ascii="Times New Roman" w:hAnsi="Times New Roman" w:cs="Times New Roman"/>
          <w:sz w:val="28"/>
          <w:szCs w:val="28"/>
        </w:rPr>
        <w:t>держав, окремих науковців, звичайних</w:t>
      </w:r>
      <w:r w:rsidRPr="00FA23DA">
        <w:rPr>
          <w:rFonts w:ascii="Times New Roman" w:hAnsi="Times New Roman" w:cs="Times New Roman"/>
          <w:sz w:val="28"/>
          <w:szCs w:val="28"/>
        </w:rPr>
        <w:t xml:space="preserve"> людей до здійснення тлумачення. Таке ставлення проходить свій шлях від повного заперечення до прийняття та схвалення. На сьогодні абсолютно переважаючою є думка про необхідність</w:t>
      </w:r>
      <w:r w:rsidR="00D70CEE" w:rsidRPr="00FA23DA">
        <w:rPr>
          <w:rFonts w:ascii="Times New Roman" w:hAnsi="Times New Roman" w:cs="Times New Roman"/>
          <w:sz w:val="28"/>
          <w:szCs w:val="28"/>
        </w:rPr>
        <w:t xml:space="preserve"> та обов’язковість</w:t>
      </w:r>
      <w:r w:rsidRPr="00FA23DA">
        <w:rPr>
          <w:rFonts w:ascii="Times New Roman" w:hAnsi="Times New Roman" w:cs="Times New Roman"/>
          <w:sz w:val="28"/>
          <w:szCs w:val="28"/>
        </w:rPr>
        <w:t xml:space="preserve"> існування тлумачення. Водночас розгляд можливості здійснення тлумачення переходить у дещо іншу площину. Так, науковцями ставиться під питання можливість здійснення тлумачення норм у тій чи іншій галузі права. Отож, </w:t>
      </w:r>
      <w:r w:rsidRPr="00FA23DA">
        <w:rPr>
          <w:rFonts w:ascii="Times New Roman" w:hAnsi="Times New Roman" w:cs="Times New Roman"/>
          <w:sz w:val="28"/>
          <w:szCs w:val="28"/>
        </w:rPr>
        <w:lastRenderedPageBreak/>
        <w:t xml:space="preserve">надалі </w:t>
      </w:r>
      <w:r w:rsidR="00A57FB8" w:rsidRPr="00FA23DA">
        <w:rPr>
          <w:rFonts w:ascii="Times New Roman" w:hAnsi="Times New Roman" w:cs="Times New Roman"/>
          <w:sz w:val="28"/>
          <w:szCs w:val="28"/>
        </w:rPr>
        <w:t>розглянемо особливості здійснення тлумачення у приватному та публічному праві.</w:t>
      </w:r>
    </w:p>
    <w:p w14:paraId="0AF30C68" w14:textId="77777777" w:rsidR="001F342E" w:rsidRPr="00FA23DA" w:rsidRDefault="001F342E"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Поділ права на приватне та публічне на сьогодні є все більш умовним. У теорії права існує дуже багато концепцій і підходів для здійснення та обґрунтування такого розподілу. На практиці він також має вагоме значення, оскільки є зру</w:t>
      </w:r>
      <w:r w:rsidR="00D95B5A" w:rsidRPr="00FA23DA">
        <w:rPr>
          <w:rFonts w:ascii="Times New Roman" w:hAnsi="Times New Roman" w:cs="Times New Roman"/>
          <w:sz w:val="28"/>
          <w:szCs w:val="28"/>
        </w:rPr>
        <w:t xml:space="preserve">чним для </w:t>
      </w:r>
      <w:proofErr w:type="spellStart"/>
      <w:r w:rsidR="00D95B5A" w:rsidRPr="00FA23DA">
        <w:rPr>
          <w:rFonts w:ascii="Times New Roman" w:hAnsi="Times New Roman" w:cs="Times New Roman"/>
          <w:sz w:val="28"/>
          <w:szCs w:val="28"/>
        </w:rPr>
        <w:t>праворозуміння</w:t>
      </w:r>
      <w:proofErr w:type="spellEnd"/>
      <w:r w:rsidR="00D95B5A" w:rsidRPr="00FA23DA">
        <w:rPr>
          <w:rFonts w:ascii="Times New Roman" w:hAnsi="Times New Roman" w:cs="Times New Roman"/>
          <w:sz w:val="28"/>
          <w:szCs w:val="28"/>
        </w:rPr>
        <w:t xml:space="preserve"> та </w:t>
      </w:r>
      <w:proofErr w:type="spellStart"/>
      <w:r w:rsidR="00D95B5A" w:rsidRPr="00FA23DA">
        <w:rPr>
          <w:rFonts w:ascii="Times New Roman" w:hAnsi="Times New Roman" w:cs="Times New Roman"/>
          <w:sz w:val="28"/>
          <w:szCs w:val="28"/>
        </w:rPr>
        <w:t>право</w:t>
      </w:r>
      <w:r w:rsidRPr="00FA23DA">
        <w:rPr>
          <w:rFonts w:ascii="Times New Roman" w:hAnsi="Times New Roman" w:cs="Times New Roman"/>
          <w:sz w:val="28"/>
          <w:szCs w:val="28"/>
        </w:rPr>
        <w:t>затсосування</w:t>
      </w:r>
      <w:proofErr w:type="spellEnd"/>
      <w:r w:rsidRPr="00FA23DA">
        <w:rPr>
          <w:rFonts w:ascii="Times New Roman" w:hAnsi="Times New Roman" w:cs="Times New Roman"/>
          <w:sz w:val="28"/>
          <w:szCs w:val="28"/>
        </w:rPr>
        <w:t>, а також дозволяє систематизувати законодавство. Однак, з розвитком правовідносин все важче встановити критерії для здійснення чіткого розподілу та встановлення меж між приватним та публічним правом. Правовідносини у галузях, які прийнято вважати приватноправовими чи публічно-правовими, мають багато винятків, які не дозволяють їх віднести до однієї з підсистем. Як результат, теоретичні основи поділу права на приватне та публічне порушуються та видозмінюються.</w:t>
      </w:r>
      <w:r w:rsidR="006A4E92" w:rsidRPr="00FA23DA">
        <w:rPr>
          <w:rStyle w:val="FootnoteReference"/>
          <w:rFonts w:ascii="Times New Roman" w:hAnsi="Times New Roman" w:cs="Times New Roman"/>
          <w:sz w:val="28"/>
          <w:szCs w:val="28"/>
        </w:rPr>
        <w:footnoteReference w:id="12"/>
      </w:r>
      <w:r w:rsidR="006A4E92" w:rsidRPr="00FA23DA">
        <w:rPr>
          <w:rFonts w:ascii="Times New Roman" w:hAnsi="Times New Roman" w:cs="Times New Roman"/>
          <w:sz w:val="28"/>
          <w:szCs w:val="28"/>
        </w:rPr>
        <w:t xml:space="preserve"> </w:t>
      </w:r>
    </w:p>
    <w:p w14:paraId="292FA0FD" w14:textId="77777777" w:rsidR="00B4291E" w:rsidRPr="00FA23DA" w:rsidRDefault="00B4291E" w:rsidP="00FA23DA">
      <w:pPr>
        <w:spacing w:after="0" w:line="360" w:lineRule="auto"/>
        <w:ind w:firstLine="709"/>
        <w:jc w:val="both"/>
        <w:rPr>
          <w:rStyle w:val="Hyperlink"/>
          <w:rFonts w:ascii="Times New Roman" w:hAnsi="Times New Roman" w:cs="Times New Roman"/>
          <w:sz w:val="28"/>
          <w:szCs w:val="28"/>
        </w:rPr>
      </w:pPr>
      <w:r w:rsidRPr="00FA23DA">
        <w:rPr>
          <w:rFonts w:ascii="Times New Roman" w:hAnsi="Times New Roman" w:cs="Times New Roman"/>
          <w:sz w:val="28"/>
          <w:szCs w:val="28"/>
        </w:rPr>
        <w:t xml:space="preserve">У цьому контексті потрібно погодитися з О. А. </w:t>
      </w:r>
      <w:proofErr w:type="spellStart"/>
      <w:r w:rsidRPr="00FA23DA">
        <w:rPr>
          <w:rFonts w:ascii="Times New Roman" w:hAnsi="Times New Roman" w:cs="Times New Roman"/>
          <w:sz w:val="28"/>
          <w:szCs w:val="28"/>
        </w:rPr>
        <w:t>Банчуком</w:t>
      </w:r>
      <w:proofErr w:type="spellEnd"/>
      <w:r w:rsidRPr="00FA23DA">
        <w:rPr>
          <w:rFonts w:ascii="Times New Roman" w:hAnsi="Times New Roman" w:cs="Times New Roman"/>
          <w:sz w:val="28"/>
          <w:szCs w:val="28"/>
        </w:rPr>
        <w:t xml:space="preserve">, який </w:t>
      </w:r>
      <w:r w:rsidR="00DF47C0" w:rsidRPr="00FA23DA">
        <w:rPr>
          <w:rFonts w:ascii="Times New Roman" w:hAnsi="Times New Roman" w:cs="Times New Roman"/>
          <w:sz w:val="28"/>
          <w:szCs w:val="28"/>
        </w:rPr>
        <w:t>зазначає, що не потрібно проводити чітке розмежування між публічним та приватним правом, а їх потрібно розглядати у комплексі, як сукупність суспільних відносин, які набувають то одну якість, то іншу та об’єднані в єдину</w:t>
      </w:r>
      <w:r w:rsidR="006A4E92" w:rsidRPr="00FA23DA">
        <w:rPr>
          <w:rFonts w:ascii="Times New Roman" w:hAnsi="Times New Roman" w:cs="Times New Roman"/>
          <w:sz w:val="28"/>
          <w:szCs w:val="28"/>
        </w:rPr>
        <w:t xml:space="preserve"> систему правового регулювання.</w:t>
      </w:r>
      <w:r w:rsidR="006A4E92" w:rsidRPr="00FA23DA">
        <w:rPr>
          <w:rStyle w:val="FootnoteReference"/>
          <w:rFonts w:ascii="Times New Roman" w:hAnsi="Times New Roman" w:cs="Times New Roman"/>
          <w:sz w:val="28"/>
          <w:szCs w:val="28"/>
        </w:rPr>
        <w:footnoteReference w:id="13"/>
      </w:r>
    </w:p>
    <w:p w14:paraId="233FCE06" w14:textId="77777777" w:rsidR="00B15FAD" w:rsidRPr="00FA23DA" w:rsidRDefault="00B15FAD" w:rsidP="00FA23DA">
      <w:pPr>
        <w:spacing w:after="0" w:line="360" w:lineRule="auto"/>
        <w:ind w:firstLine="709"/>
        <w:jc w:val="both"/>
        <w:rPr>
          <w:rFonts w:ascii="Times New Roman" w:hAnsi="Times New Roman" w:cs="Times New Roman"/>
          <w:sz w:val="28"/>
          <w:szCs w:val="28"/>
        </w:rPr>
      </w:pPr>
      <w:r w:rsidRPr="00FA23DA">
        <w:rPr>
          <w:rStyle w:val="Hyperlink"/>
          <w:rFonts w:ascii="Times New Roman" w:hAnsi="Times New Roman" w:cs="Times New Roman"/>
          <w:color w:val="auto"/>
          <w:sz w:val="28"/>
          <w:szCs w:val="28"/>
          <w:u w:val="none"/>
        </w:rPr>
        <w:t xml:space="preserve">Таку ж думку висловлює і А. О. </w:t>
      </w:r>
      <w:proofErr w:type="spellStart"/>
      <w:r w:rsidRPr="00FA23DA">
        <w:rPr>
          <w:rStyle w:val="Hyperlink"/>
          <w:rFonts w:ascii="Times New Roman" w:hAnsi="Times New Roman" w:cs="Times New Roman"/>
          <w:color w:val="auto"/>
          <w:sz w:val="28"/>
          <w:szCs w:val="28"/>
          <w:u w:val="none"/>
        </w:rPr>
        <w:t>Дутко</w:t>
      </w:r>
      <w:proofErr w:type="spellEnd"/>
      <w:r w:rsidRPr="00FA23DA">
        <w:rPr>
          <w:rStyle w:val="Hyperlink"/>
          <w:rFonts w:ascii="Times New Roman" w:hAnsi="Times New Roman" w:cs="Times New Roman"/>
          <w:color w:val="auto"/>
          <w:sz w:val="28"/>
          <w:szCs w:val="28"/>
          <w:u w:val="none"/>
        </w:rPr>
        <w:t>, який пише про те, що «чисто» публічних чи приватних галузей права немає. Під час їхньої реалізації відбувається взаємопроникнення засад публічного права у галузі приватного права, а засад приватного права – у галузі публі</w:t>
      </w:r>
      <w:r w:rsidR="00F52442" w:rsidRPr="00FA23DA">
        <w:rPr>
          <w:rStyle w:val="Hyperlink"/>
          <w:rFonts w:ascii="Times New Roman" w:hAnsi="Times New Roman" w:cs="Times New Roman"/>
          <w:color w:val="auto"/>
          <w:sz w:val="28"/>
          <w:szCs w:val="28"/>
          <w:u w:val="none"/>
        </w:rPr>
        <w:t>чного права. Як висновок, А. О. </w:t>
      </w:r>
      <w:proofErr w:type="spellStart"/>
      <w:r w:rsidRPr="00FA23DA">
        <w:rPr>
          <w:rStyle w:val="Hyperlink"/>
          <w:rFonts w:ascii="Times New Roman" w:hAnsi="Times New Roman" w:cs="Times New Roman"/>
          <w:color w:val="auto"/>
          <w:sz w:val="28"/>
          <w:szCs w:val="28"/>
          <w:u w:val="none"/>
        </w:rPr>
        <w:t>Дутко</w:t>
      </w:r>
      <w:proofErr w:type="spellEnd"/>
      <w:r w:rsidRPr="00FA23DA">
        <w:rPr>
          <w:rStyle w:val="Hyperlink"/>
          <w:rFonts w:ascii="Times New Roman" w:hAnsi="Times New Roman" w:cs="Times New Roman"/>
          <w:color w:val="auto"/>
          <w:sz w:val="28"/>
          <w:szCs w:val="28"/>
          <w:u w:val="none"/>
        </w:rPr>
        <w:t xml:space="preserve"> зазначає: «</w:t>
      </w:r>
      <w:r w:rsidRPr="00FA23DA">
        <w:rPr>
          <w:rFonts w:ascii="Times New Roman" w:hAnsi="Times New Roman" w:cs="Times New Roman"/>
          <w:sz w:val="28"/>
          <w:szCs w:val="28"/>
        </w:rPr>
        <w:t>публічне та приватне право є не сукупністю відповідних галузей права, а являють собою певні системи норм права і є підсистемами у структурі системи права».</w:t>
      </w:r>
      <w:r w:rsidR="006A4E92" w:rsidRPr="00FA23DA">
        <w:rPr>
          <w:rStyle w:val="FootnoteReference"/>
          <w:rFonts w:ascii="Times New Roman" w:hAnsi="Times New Roman" w:cs="Times New Roman"/>
          <w:sz w:val="28"/>
          <w:szCs w:val="28"/>
        </w:rPr>
        <w:footnoteReference w:id="14"/>
      </w:r>
    </w:p>
    <w:p w14:paraId="61CF73ED" w14:textId="77777777" w:rsidR="00F52442" w:rsidRPr="00FA23DA" w:rsidRDefault="00254BF6"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lastRenderedPageBreak/>
        <w:t xml:space="preserve">Підтвердженням позиції щодо відсутності потреби </w:t>
      </w:r>
      <w:r w:rsidR="003762DB" w:rsidRPr="00FA23DA">
        <w:rPr>
          <w:rFonts w:ascii="Times New Roman" w:hAnsi="Times New Roman" w:cs="Times New Roman"/>
          <w:sz w:val="28"/>
          <w:szCs w:val="28"/>
        </w:rPr>
        <w:t>у здійсненні чіткої диференціації</w:t>
      </w:r>
      <w:r w:rsidRPr="00FA23DA">
        <w:rPr>
          <w:rFonts w:ascii="Times New Roman" w:hAnsi="Times New Roman" w:cs="Times New Roman"/>
          <w:sz w:val="28"/>
          <w:szCs w:val="28"/>
        </w:rPr>
        <w:t xml:space="preserve"> публічного та приватного права є практика, притаманна системі англосаксонського права. Так, у англосаксонській системі відсутній загалом поділ права на публічне та приватне. Водночас</w:t>
      </w:r>
      <w:r w:rsidR="003762DB" w:rsidRPr="00FA23DA">
        <w:rPr>
          <w:rFonts w:ascii="Times New Roman" w:hAnsi="Times New Roman" w:cs="Times New Roman"/>
          <w:sz w:val="28"/>
          <w:szCs w:val="28"/>
        </w:rPr>
        <w:t xml:space="preserve"> також</w:t>
      </w:r>
      <w:r w:rsidRPr="00FA23DA">
        <w:rPr>
          <w:rFonts w:ascii="Times New Roman" w:hAnsi="Times New Roman" w:cs="Times New Roman"/>
          <w:sz w:val="28"/>
          <w:szCs w:val="28"/>
        </w:rPr>
        <w:t xml:space="preserve"> не здійснюється </w:t>
      </w:r>
      <w:r w:rsidR="003762DB" w:rsidRPr="00FA23DA">
        <w:rPr>
          <w:rFonts w:ascii="Times New Roman" w:hAnsi="Times New Roman" w:cs="Times New Roman"/>
          <w:sz w:val="28"/>
          <w:szCs w:val="28"/>
        </w:rPr>
        <w:t xml:space="preserve">і </w:t>
      </w:r>
      <w:r w:rsidRPr="00FA23DA">
        <w:rPr>
          <w:rFonts w:ascii="Times New Roman" w:hAnsi="Times New Roman" w:cs="Times New Roman"/>
          <w:sz w:val="28"/>
          <w:szCs w:val="28"/>
        </w:rPr>
        <w:t>поділ права за галузями.</w:t>
      </w:r>
      <w:r w:rsidR="002D46F4" w:rsidRPr="00FA23DA">
        <w:rPr>
          <w:rStyle w:val="FootnoteReference"/>
          <w:rFonts w:ascii="Times New Roman" w:hAnsi="Times New Roman" w:cs="Times New Roman"/>
          <w:sz w:val="28"/>
          <w:szCs w:val="28"/>
        </w:rPr>
        <w:footnoteReference w:id="15"/>
      </w:r>
      <w:r w:rsidR="002D46F4" w:rsidRPr="00FA23DA">
        <w:rPr>
          <w:rFonts w:ascii="Times New Roman" w:hAnsi="Times New Roman" w:cs="Times New Roman"/>
          <w:sz w:val="28"/>
          <w:szCs w:val="28"/>
        </w:rPr>
        <w:t xml:space="preserve"> </w:t>
      </w:r>
    </w:p>
    <w:p w14:paraId="6E9F2A54" w14:textId="77777777" w:rsidR="00DF47C0" w:rsidRPr="00FA23DA" w:rsidRDefault="00DF47C0"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Надалі розглянемо теоретичні та практичні особливості, притаманні приватноправовим та публічно-правовим відносинам, які мають бути враховані при здійсненні тлумачення норм, віднесених до однієї з </w:t>
      </w:r>
      <w:r w:rsidR="00F52442" w:rsidRPr="00FA23DA">
        <w:rPr>
          <w:rFonts w:ascii="Times New Roman" w:hAnsi="Times New Roman" w:cs="Times New Roman"/>
          <w:sz w:val="28"/>
          <w:szCs w:val="28"/>
        </w:rPr>
        <w:t>цих</w:t>
      </w:r>
      <w:r w:rsidRPr="00FA23DA">
        <w:rPr>
          <w:rFonts w:ascii="Times New Roman" w:hAnsi="Times New Roman" w:cs="Times New Roman"/>
          <w:sz w:val="28"/>
          <w:szCs w:val="28"/>
        </w:rPr>
        <w:t xml:space="preserve"> підсистем.</w:t>
      </w:r>
    </w:p>
    <w:p w14:paraId="6B27D38C" w14:textId="77777777" w:rsidR="00A57FB8" w:rsidRPr="00FA23DA" w:rsidRDefault="004C4C65"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Приватне право – це підсистема права, що регулює відносини між суб’єктами права (фізичними та юридичними особами), які є рівними у своїх правах та інтересах. Взаємодія сторін приватного права відбувається на рівних без участі суб’єктів владних повноважень</w:t>
      </w:r>
      <w:r w:rsidR="00C06169" w:rsidRPr="00FA23DA">
        <w:rPr>
          <w:rFonts w:ascii="Times New Roman" w:hAnsi="Times New Roman" w:cs="Times New Roman"/>
          <w:sz w:val="28"/>
          <w:szCs w:val="28"/>
        </w:rPr>
        <w:t xml:space="preserve"> з використанням диспозитивного підходу, який надає його учасникам значну автономію у реал</w:t>
      </w:r>
      <w:r w:rsidR="006A4E92" w:rsidRPr="00FA23DA">
        <w:rPr>
          <w:rFonts w:ascii="Times New Roman" w:hAnsi="Times New Roman" w:cs="Times New Roman"/>
          <w:sz w:val="28"/>
          <w:szCs w:val="28"/>
        </w:rPr>
        <w:t>ізації своїх прав та інтересів.</w:t>
      </w:r>
      <w:r w:rsidR="006A4E92" w:rsidRPr="00FA23DA">
        <w:rPr>
          <w:rStyle w:val="FootnoteReference"/>
          <w:rFonts w:ascii="Times New Roman" w:hAnsi="Times New Roman" w:cs="Times New Roman"/>
          <w:sz w:val="28"/>
          <w:szCs w:val="28"/>
        </w:rPr>
        <w:footnoteReference w:id="16"/>
      </w:r>
    </w:p>
    <w:p w14:paraId="71EB8596" w14:textId="77777777" w:rsidR="00C06169" w:rsidRPr="00FA23DA" w:rsidRDefault="00C06169"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Досить вдало та ґрунтовно надала характеристику особливостям приватного права, які впливають на його тлумачення, В. К. </w:t>
      </w:r>
      <w:proofErr w:type="spellStart"/>
      <w:r w:rsidRPr="00FA23DA">
        <w:rPr>
          <w:rFonts w:ascii="Times New Roman" w:hAnsi="Times New Roman" w:cs="Times New Roman"/>
          <w:sz w:val="28"/>
          <w:szCs w:val="28"/>
        </w:rPr>
        <w:t>Антошкіна</w:t>
      </w:r>
      <w:proofErr w:type="spellEnd"/>
      <w:r w:rsidRPr="00FA23DA">
        <w:rPr>
          <w:rFonts w:ascii="Times New Roman" w:hAnsi="Times New Roman" w:cs="Times New Roman"/>
          <w:sz w:val="28"/>
          <w:szCs w:val="28"/>
        </w:rPr>
        <w:t xml:space="preserve">. Отож, для розгляду основних ознак приватного права </w:t>
      </w:r>
      <w:r w:rsidR="00ED6334" w:rsidRPr="00FA23DA">
        <w:rPr>
          <w:rFonts w:ascii="Times New Roman" w:hAnsi="Times New Roman" w:cs="Times New Roman"/>
          <w:sz w:val="28"/>
          <w:szCs w:val="28"/>
        </w:rPr>
        <w:t>будемо звертатися</w:t>
      </w:r>
      <w:r w:rsidRPr="00FA23DA">
        <w:rPr>
          <w:rFonts w:ascii="Times New Roman" w:hAnsi="Times New Roman" w:cs="Times New Roman"/>
          <w:sz w:val="28"/>
          <w:szCs w:val="28"/>
        </w:rPr>
        <w:t xml:space="preserve"> до її досвіду.</w:t>
      </w:r>
    </w:p>
    <w:p w14:paraId="7370C2B3" w14:textId="77777777" w:rsidR="00ED6334" w:rsidRPr="00FA23DA" w:rsidRDefault="00ED6334"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Однією з ключових ознак приватного права, про яку ми уже згадували, є </w:t>
      </w:r>
      <w:proofErr w:type="spellStart"/>
      <w:r w:rsidRPr="00FA23DA">
        <w:rPr>
          <w:rFonts w:ascii="Times New Roman" w:hAnsi="Times New Roman" w:cs="Times New Roman"/>
          <w:sz w:val="28"/>
          <w:szCs w:val="28"/>
        </w:rPr>
        <w:t>диспозитивність</w:t>
      </w:r>
      <w:proofErr w:type="spellEnd"/>
      <w:r w:rsidRPr="00FA23DA">
        <w:rPr>
          <w:rFonts w:ascii="Times New Roman" w:hAnsi="Times New Roman" w:cs="Times New Roman"/>
          <w:sz w:val="28"/>
          <w:szCs w:val="28"/>
        </w:rPr>
        <w:t xml:space="preserve">. Учасники цивільних правовідносин при укладанні договору можуть встановити власні правила та обмеження, які будуть поширюватися виключно на них. </w:t>
      </w:r>
    </w:p>
    <w:p w14:paraId="47EA4CEE" w14:textId="77777777" w:rsidR="00C871E6" w:rsidRPr="00FA23DA" w:rsidRDefault="00ED6334"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Водночас варто підкреслити, що </w:t>
      </w:r>
      <w:proofErr w:type="spellStart"/>
      <w:r w:rsidRPr="00FA23DA">
        <w:rPr>
          <w:rFonts w:ascii="Times New Roman" w:hAnsi="Times New Roman" w:cs="Times New Roman"/>
          <w:sz w:val="28"/>
          <w:szCs w:val="28"/>
        </w:rPr>
        <w:t>диспозитивність</w:t>
      </w:r>
      <w:proofErr w:type="spellEnd"/>
      <w:r w:rsidRPr="00FA23DA">
        <w:rPr>
          <w:rFonts w:ascii="Times New Roman" w:hAnsi="Times New Roman" w:cs="Times New Roman"/>
          <w:sz w:val="28"/>
          <w:szCs w:val="28"/>
        </w:rPr>
        <w:t xml:space="preserve"> не є необмеженою. Будь-які відносини повинні бути у тій чи іншій мірі врегульовані загальними правилами, які забезпечать правопорядок та допоможуть уникнути свавілля. </w:t>
      </w:r>
      <w:r w:rsidR="002A65B7" w:rsidRPr="00FA23DA">
        <w:rPr>
          <w:rFonts w:ascii="Times New Roman" w:hAnsi="Times New Roman" w:cs="Times New Roman"/>
          <w:sz w:val="28"/>
          <w:szCs w:val="28"/>
        </w:rPr>
        <w:t xml:space="preserve">Нерідко трапляються ситуації, коли доволі важко встановити межі </w:t>
      </w:r>
      <w:proofErr w:type="spellStart"/>
      <w:r w:rsidR="002A65B7" w:rsidRPr="00FA23DA">
        <w:rPr>
          <w:rFonts w:ascii="Times New Roman" w:hAnsi="Times New Roman" w:cs="Times New Roman"/>
          <w:sz w:val="28"/>
          <w:szCs w:val="28"/>
        </w:rPr>
        <w:lastRenderedPageBreak/>
        <w:t>диспозитивності</w:t>
      </w:r>
      <w:proofErr w:type="spellEnd"/>
      <w:r w:rsidR="002A65B7" w:rsidRPr="00FA23DA">
        <w:rPr>
          <w:rFonts w:ascii="Times New Roman" w:hAnsi="Times New Roman" w:cs="Times New Roman"/>
          <w:sz w:val="28"/>
          <w:szCs w:val="28"/>
        </w:rPr>
        <w:t>, встановлені імперативними приписами</w:t>
      </w:r>
      <w:r w:rsidR="00A2029E" w:rsidRPr="00FA23DA">
        <w:rPr>
          <w:rFonts w:ascii="Times New Roman" w:hAnsi="Times New Roman" w:cs="Times New Roman"/>
          <w:sz w:val="28"/>
          <w:szCs w:val="28"/>
        </w:rPr>
        <w:t>, які потребують додаткового тлумачення</w:t>
      </w:r>
      <w:r w:rsidR="002A65B7" w:rsidRPr="00FA23DA">
        <w:rPr>
          <w:rFonts w:ascii="Times New Roman" w:hAnsi="Times New Roman" w:cs="Times New Roman"/>
          <w:sz w:val="28"/>
          <w:szCs w:val="28"/>
        </w:rPr>
        <w:t>.</w:t>
      </w:r>
      <w:r w:rsidR="006A4E92" w:rsidRPr="00FA23DA">
        <w:rPr>
          <w:rStyle w:val="FootnoteReference"/>
          <w:rFonts w:ascii="Times New Roman" w:hAnsi="Times New Roman" w:cs="Times New Roman"/>
          <w:sz w:val="28"/>
          <w:szCs w:val="28"/>
        </w:rPr>
        <w:footnoteReference w:id="17"/>
      </w:r>
    </w:p>
    <w:p w14:paraId="029622B4" w14:textId="77777777" w:rsidR="00077A3E" w:rsidRPr="00FA23DA" w:rsidRDefault="00077A3E"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До складу приватного права входить низка галузей: цивільне (включно з господарським), сімейне, </w:t>
      </w:r>
      <w:r w:rsidR="00A73C44" w:rsidRPr="00FA23DA">
        <w:rPr>
          <w:rFonts w:ascii="Times New Roman" w:hAnsi="Times New Roman" w:cs="Times New Roman"/>
          <w:sz w:val="28"/>
          <w:szCs w:val="28"/>
        </w:rPr>
        <w:t>трудове, житлове, земельне право та інші. Як наслідок, галузі приватного права складають великий обсяг правових норм, які регулюють доволі велике коло правовідносин. З огляду на це, при тлумаченні та застосуванні норм потрібно враховувати обсяги та систему таких норм.</w:t>
      </w:r>
      <w:r w:rsidR="006A4E92" w:rsidRPr="00FA23DA">
        <w:rPr>
          <w:rStyle w:val="FootnoteReference"/>
          <w:rFonts w:ascii="Times New Roman" w:hAnsi="Times New Roman" w:cs="Times New Roman"/>
          <w:sz w:val="28"/>
          <w:szCs w:val="28"/>
        </w:rPr>
        <w:footnoteReference w:id="18"/>
      </w:r>
    </w:p>
    <w:p w14:paraId="54BDF781" w14:textId="77777777" w:rsidR="00A73C44" w:rsidRPr="00FA23DA" w:rsidRDefault="00D937AB"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Серед галузей приватного права центральне місце займає цивільне право. У силу своєї наповненості та універсальності норми цивільного права можуть застосовуватися у інших галузях (господарському, сімейному, земельному та інше) при неврегульованості того чи іншого питання. Проте приписи інших галузей приватного права незастосовні для питань цивільних правовідносин. Отже, цивільне право є фундаментом у приватному праві, а тому практика застосування його норм та надане їм тлумачення </w:t>
      </w:r>
      <w:r w:rsidR="0069414B" w:rsidRPr="00FA23DA">
        <w:rPr>
          <w:rFonts w:ascii="Times New Roman" w:hAnsi="Times New Roman" w:cs="Times New Roman"/>
          <w:sz w:val="28"/>
          <w:szCs w:val="28"/>
        </w:rPr>
        <w:t>має бути загальним та використов</w:t>
      </w:r>
      <w:r w:rsidRPr="00FA23DA">
        <w:rPr>
          <w:rFonts w:ascii="Times New Roman" w:hAnsi="Times New Roman" w:cs="Times New Roman"/>
          <w:sz w:val="28"/>
          <w:szCs w:val="28"/>
        </w:rPr>
        <w:t xml:space="preserve">уватися </w:t>
      </w:r>
      <w:r w:rsidR="0069414B" w:rsidRPr="00FA23DA">
        <w:rPr>
          <w:rFonts w:ascii="Times New Roman" w:hAnsi="Times New Roman" w:cs="Times New Roman"/>
          <w:sz w:val="28"/>
          <w:szCs w:val="28"/>
        </w:rPr>
        <w:t>і для інших галузей.</w:t>
      </w:r>
      <w:r w:rsidR="006A4E92" w:rsidRPr="00FA23DA">
        <w:rPr>
          <w:rStyle w:val="FootnoteReference"/>
          <w:rFonts w:ascii="Times New Roman" w:hAnsi="Times New Roman" w:cs="Times New Roman"/>
          <w:sz w:val="28"/>
          <w:szCs w:val="28"/>
        </w:rPr>
        <w:footnoteReference w:id="19"/>
      </w:r>
    </w:p>
    <w:p w14:paraId="16CCFED6" w14:textId="77777777" w:rsidR="00C06169" w:rsidRPr="00FA23DA" w:rsidRDefault="0069414B"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Характерною ознакою галузей приватного права є також </w:t>
      </w:r>
      <w:r w:rsidR="007001E9" w:rsidRPr="00FA23DA">
        <w:rPr>
          <w:rFonts w:ascii="Times New Roman" w:hAnsi="Times New Roman" w:cs="Times New Roman"/>
          <w:sz w:val="28"/>
          <w:szCs w:val="28"/>
        </w:rPr>
        <w:t>значне використання оцінних понять.</w:t>
      </w:r>
      <w:r w:rsidR="000B1424" w:rsidRPr="00FA23DA">
        <w:rPr>
          <w:rFonts w:ascii="Times New Roman" w:hAnsi="Times New Roman" w:cs="Times New Roman"/>
          <w:sz w:val="28"/>
          <w:szCs w:val="28"/>
        </w:rPr>
        <w:t xml:space="preserve"> Надання оцінки та тлумачення таких понять потребує спеціальних знань та вмінь</w:t>
      </w:r>
      <w:r w:rsidR="00A2029E" w:rsidRPr="00FA23DA">
        <w:rPr>
          <w:rFonts w:ascii="Times New Roman" w:hAnsi="Times New Roman" w:cs="Times New Roman"/>
          <w:sz w:val="28"/>
          <w:szCs w:val="28"/>
        </w:rPr>
        <w:t xml:space="preserve"> та здійснюється, зокрема, під час розгляду справ судами.</w:t>
      </w:r>
      <w:r w:rsidR="006A4E92" w:rsidRPr="00FA23DA">
        <w:rPr>
          <w:rStyle w:val="FootnoteReference"/>
          <w:rFonts w:ascii="Times New Roman" w:hAnsi="Times New Roman" w:cs="Times New Roman"/>
          <w:sz w:val="28"/>
          <w:szCs w:val="28"/>
        </w:rPr>
        <w:footnoteReference w:id="20"/>
      </w:r>
    </w:p>
    <w:p w14:paraId="51592298" w14:textId="77777777" w:rsidR="006E1FF1" w:rsidRPr="00FA23DA" w:rsidRDefault="0080507B"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Особливе місце у системі приватного права посідають правочини (односторонні та багатосторонні), зокрема договори. Принцип свободи договору перетворює фактично кожен договір на окремий об’єкт тлумачення та змушує його сторони, а також суд індивідуально аналізувати </w:t>
      </w:r>
      <w:r w:rsidR="00A2029E" w:rsidRPr="00FA23DA">
        <w:rPr>
          <w:rFonts w:ascii="Times New Roman" w:hAnsi="Times New Roman" w:cs="Times New Roman"/>
          <w:sz w:val="28"/>
          <w:szCs w:val="28"/>
        </w:rPr>
        <w:t>кожен договір</w:t>
      </w:r>
      <w:r w:rsidRPr="00FA23DA">
        <w:rPr>
          <w:rFonts w:ascii="Times New Roman" w:hAnsi="Times New Roman" w:cs="Times New Roman"/>
          <w:sz w:val="28"/>
          <w:szCs w:val="28"/>
        </w:rPr>
        <w:t>.</w:t>
      </w:r>
      <w:r w:rsidR="006A4E92" w:rsidRPr="00FA23DA">
        <w:rPr>
          <w:rStyle w:val="FootnoteReference"/>
          <w:rFonts w:ascii="Times New Roman" w:hAnsi="Times New Roman" w:cs="Times New Roman"/>
          <w:sz w:val="28"/>
          <w:szCs w:val="28"/>
        </w:rPr>
        <w:footnoteReference w:id="21"/>
      </w:r>
    </w:p>
    <w:p w14:paraId="63910CAA" w14:textId="77777777" w:rsidR="00EC0595" w:rsidRPr="00FA23DA" w:rsidRDefault="00EC0595"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Тлумачення договору здійснюється з метою розв’язання проблемних питань, які можуть виникнути у зв’язку з його укладенням, серед яких: чи є </w:t>
      </w:r>
      <w:r w:rsidRPr="00FA23DA">
        <w:rPr>
          <w:rFonts w:ascii="Times New Roman" w:hAnsi="Times New Roman" w:cs="Times New Roman"/>
          <w:sz w:val="28"/>
          <w:szCs w:val="28"/>
        </w:rPr>
        <w:lastRenderedPageBreak/>
        <w:t xml:space="preserve">договір укладеним, яка мета його укладення та який зміст його умов; у якому сенсі вживаються в його тексті слова, терміни і поняття; чи вносилися зміни договір і наскільки суттєвими вони були; чи був договір припинений; чи врегульована договором проблемна ситуація, що виникла; чи збігається </w:t>
      </w:r>
      <w:r w:rsidR="00C57B8C" w:rsidRPr="00FA23DA">
        <w:rPr>
          <w:rFonts w:ascii="Times New Roman" w:hAnsi="Times New Roman" w:cs="Times New Roman"/>
          <w:sz w:val="28"/>
          <w:szCs w:val="28"/>
        </w:rPr>
        <w:t xml:space="preserve">волевиявлення </w:t>
      </w:r>
      <w:r w:rsidR="006A4E92" w:rsidRPr="00FA23DA">
        <w:rPr>
          <w:rFonts w:ascii="Times New Roman" w:hAnsi="Times New Roman" w:cs="Times New Roman"/>
          <w:sz w:val="28"/>
          <w:szCs w:val="28"/>
        </w:rPr>
        <w:t>сторін з їхньою дійсною волею.</w:t>
      </w:r>
      <w:r w:rsidR="006A4E92" w:rsidRPr="00FA23DA">
        <w:rPr>
          <w:rStyle w:val="FootnoteReference"/>
          <w:rFonts w:ascii="Times New Roman" w:hAnsi="Times New Roman" w:cs="Times New Roman"/>
          <w:sz w:val="28"/>
          <w:szCs w:val="28"/>
        </w:rPr>
        <w:footnoteReference w:id="22"/>
      </w:r>
    </w:p>
    <w:p w14:paraId="4E9FC1BB" w14:textId="77777777" w:rsidR="00925FF1" w:rsidRPr="00FA23DA" w:rsidRDefault="00925FF1"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На значну роль суду у тлумачення норм саме приватного права впливає </w:t>
      </w:r>
      <w:r w:rsidR="0038249F" w:rsidRPr="00FA23DA">
        <w:rPr>
          <w:rFonts w:ascii="Times New Roman" w:hAnsi="Times New Roman" w:cs="Times New Roman"/>
          <w:sz w:val="28"/>
          <w:szCs w:val="28"/>
        </w:rPr>
        <w:t xml:space="preserve">відсутність відповідальних органів, які могли </w:t>
      </w:r>
      <w:r w:rsidR="00B15FAD" w:rsidRPr="00FA23DA">
        <w:rPr>
          <w:rFonts w:ascii="Times New Roman" w:hAnsi="Times New Roman" w:cs="Times New Roman"/>
          <w:sz w:val="28"/>
          <w:szCs w:val="28"/>
        </w:rPr>
        <w:t xml:space="preserve">б </w:t>
      </w:r>
      <w:r w:rsidR="0038249F" w:rsidRPr="00FA23DA">
        <w:rPr>
          <w:rFonts w:ascii="Times New Roman" w:hAnsi="Times New Roman" w:cs="Times New Roman"/>
          <w:sz w:val="28"/>
          <w:szCs w:val="28"/>
        </w:rPr>
        <w:t>надавати роз’яснення щодо того чи і</w:t>
      </w:r>
      <w:r w:rsidR="00EA53EE" w:rsidRPr="00FA23DA">
        <w:rPr>
          <w:rFonts w:ascii="Times New Roman" w:hAnsi="Times New Roman" w:cs="Times New Roman"/>
          <w:sz w:val="28"/>
          <w:szCs w:val="28"/>
        </w:rPr>
        <w:t>ншого нормативно-правового акту. Зважаючи на це, судове тлумачення, яке може бути як нормативним, так і казуальним, має велике значення у приватно-правових відносинах.</w:t>
      </w:r>
      <w:r w:rsidR="006A4E92" w:rsidRPr="00FA23DA">
        <w:rPr>
          <w:rStyle w:val="FootnoteReference"/>
          <w:rFonts w:ascii="Times New Roman" w:hAnsi="Times New Roman" w:cs="Times New Roman"/>
          <w:sz w:val="28"/>
          <w:szCs w:val="28"/>
        </w:rPr>
        <w:footnoteReference w:id="23"/>
      </w:r>
    </w:p>
    <w:p w14:paraId="61D7F2F5" w14:textId="77777777" w:rsidR="00EA53EE" w:rsidRPr="00FA23DA" w:rsidRDefault="00FA1FB0"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Також у приватному праві активно використовується аналогія закону. Так, при відсутності чіткої норми з конкретного питання особа, яка застосовує право, може шляхом тлумачення та звернення до інших норм, які регулюють схожі правовідносини, </w:t>
      </w:r>
      <w:proofErr w:type="spellStart"/>
      <w:r w:rsidRPr="00FA23DA">
        <w:rPr>
          <w:rFonts w:ascii="Times New Roman" w:hAnsi="Times New Roman" w:cs="Times New Roman"/>
          <w:sz w:val="28"/>
          <w:szCs w:val="28"/>
        </w:rPr>
        <w:t>оперативно</w:t>
      </w:r>
      <w:proofErr w:type="spellEnd"/>
      <w:r w:rsidRPr="00FA23DA">
        <w:rPr>
          <w:rFonts w:ascii="Times New Roman" w:hAnsi="Times New Roman" w:cs="Times New Roman"/>
          <w:sz w:val="28"/>
          <w:szCs w:val="28"/>
        </w:rPr>
        <w:t xml:space="preserve"> вирішувати проблемні питання шляхом використання аналогії до того часу, доки законодавець не вирішить наявну проблему.</w:t>
      </w:r>
      <w:r w:rsidR="00613838" w:rsidRPr="00FA23DA">
        <w:rPr>
          <w:rStyle w:val="FootnoteReference"/>
          <w:rFonts w:ascii="Times New Roman" w:hAnsi="Times New Roman" w:cs="Times New Roman"/>
          <w:sz w:val="28"/>
          <w:szCs w:val="28"/>
        </w:rPr>
        <w:footnoteReference w:id="24"/>
      </w:r>
    </w:p>
    <w:p w14:paraId="34907A8B" w14:textId="77777777" w:rsidR="00FA1FB0" w:rsidRPr="00FA23DA" w:rsidRDefault="002F156A"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Наостанок</w:t>
      </w:r>
      <w:r w:rsidR="00FA1FB0" w:rsidRPr="00FA23DA">
        <w:rPr>
          <w:rFonts w:ascii="Times New Roman" w:hAnsi="Times New Roman" w:cs="Times New Roman"/>
          <w:sz w:val="28"/>
          <w:szCs w:val="28"/>
        </w:rPr>
        <w:t xml:space="preserve"> ще однією властивістю приватного права є допустимість використання звичаю для врегулювання взаємовідносин. Самі нормативно-правові акти прямо дозволяються використання звичаю, що дозволяє ефективніше вирішувати проблемні питання та на рівні з аналогією права допомагає уникнути прогалин у чинному зако</w:t>
      </w:r>
      <w:r w:rsidR="00613838" w:rsidRPr="00FA23DA">
        <w:rPr>
          <w:rFonts w:ascii="Times New Roman" w:hAnsi="Times New Roman" w:cs="Times New Roman"/>
          <w:sz w:val="28"/>
          <w:szCs w:val="28"/>
        </w:rPr>
        <w:t>нодавстві або договорі.</w:t>
      </w:r>
      <w:r w:rsidR="00613838" w:rsidRPr="00FA23DA">
        <w:rPr>
          <w:rStyle w:val="FootnoteReference"/>
          <w:rFonts w:ascii="Times New Roman" w:hAnsi="Times New Roman" w:cs="Times New Roman"/>
          <w:sz w:val="28"/>
          <w:szCs w:val="28"/>
        </w:rPr>
        <w:footnoteReference w:id="25"/>
      </w:r>
    </w:p>
    <w:p w14:paraId="25BA02A9" w14:textId="77777777" w:rsidR="00FA1FB0" w:rsidRPr="00FA23DA" w:rsidRDefault="002F156A"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Проаналізувавши особливості приватного права, ми маємо чітке бачення його специфіки, що впливає на процес тлумачення. Широка </w:t>
      </w:r>
      <w:proofErr w:type="spellStart"/>
      <w:r w:rsidRPr="00FA23DA">
        <w:rPr>
          <w:rFonts w:ascii="Times New Roman" w:hAnsi="Times New Roman" w:cs="Times New Roman"/>
          <w:sz w:val="28"/>
          <w:szCs w:val="28"/>
        </w:rPr>
        <w:t>диспозитивність</w:t>
      </w:r>
      <w:proofErr w:type="spellEnd"/>
      <w:r w:rsidRPr="00FA23DA">
        <w:rPr>
          <w:rFonts w:ascii="Times New Roman" w:hAnsi="Times New Roman" w:cs="Times New Roman"/>
          <w:sz w:val="28"/>
          <w:szCs w:val="28"/>
        </w:rPr>
        <w:t xml:space="preserve">, яка панує у приватному праві має як свої переваги, так і недоліки. Однак, однозначно можна стверджувати про те, що така характеристика приватного права залишає надзвичайно широке поле для маневрів у частині його тлумачення </w:t>
      </w:r>
      <w:proofErr w:type="spellStart"/>
      <w:r w:rsidR="00D95B5A" w:rsidRPr="00FA23DA">
        <w:rPr>
          <w:rFonts w:ascii="Times New Roman" w:hAnsi="Times New Roman" w:cs="Times New Roman"/>
          <w:sz w:val="28"/>
          <w:szCs w:val="28"/>
        </w:rPr>
        <w:lastRenderedPageBreak/>
        <w:t>нормо</w:t>
      </w:r>
      <w:r w:rsidRPr="00FA23DA">
        <w:rPr>
          <w:rFonts w:ascii="Times New Roman" w:hAnsi="Times New Roman" w:cs="Times New Roman"/>
          <w:sz w:val="28"/>
          <w:szCs w:val="28"/>
        </w:rPr>
        <w:t>застосувачами</w:t>
      </w:r>
      <w:proofErr w:type="spellEnd"/>
      <w:r w:rsidRPr="00FA23DA">
        <w:rPr>
          <w:rFonts w:ascii="Times New Roman" w:hAnsi="Times New Roman" w:cs="Times New Roman"/>
          <w:sz w:val="28"/>
          <w:szCs w:val="28"/>
        </w:rPr>
        <w:t>. Як наслідок, тлумачення у приватному праві є складною багаторівневою конструкцією, яка потребує все більших досліджень.</w:t>
      </w:r>
    </w:p>
    <w:p w14:paraId="6C04D0E7" w14:textId="77777777" w:rsidR="002F156A" w:rsidRPr="00FA23DA" w:rsidRDefault="002F156A"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На відміну від приватного права, публічне право – </w:t>
      </w:r>
      <w:r w:rsidR="007007A3" w:rsidRPr="00FA23DA">
        <w:rPr>
          <w:rFonts w:ascii="Times New Roman" w:hAnsi="Times New Roman" w:cs="Times New Roman"/>
          <w:sz w:val="28"/>
          <w:szCs w:val="28"/>
        </w:rPr>
        <w:t>це підсистема права, яка регулює відносини, неодмінним учасником яких є представник публічної влади (державної влади та/або місцевого самоврядування</w:t>
      </w:r>
      <w:r w:rsidR="001E0A97" w:rsidRPr="00FA23DA">
        <w:rPr>
          <w:rFonts w:ascii="Times New Roman" w:hAnsi="Times New Roman" w:cs="Times New Roman"/>
          <w:sz w:val="28"/>
          <w:szCs w:val="28"/>
        </w:rPr>
        <w:t>)</w:t>
      </w:r>
      <w:r w:rsidR="007007A3" w:rsidRPr="00FA23DA">
        <w:rPr>
          <w:rFonts w:ascii="Times New Roman" w:hAnsi="Times New Roman" w:cs="Times New Roman"/>
          <w:sz w:val="28"/>
          <w:szCs w:val="28"/>
        </w:rPr>
        <w:t xml:space="preserve">. Якщо у приватному праві передову роль займає приватний інтерес, то у публічному – суспільний (публічний) інтерес. Публічне право має імперативний характер та має вертикальну будову. Публічно-правові відносини можна умовно поділити </w:t>
      </w:r>
      <w:r w:rsidR="00B1676F" w:rsidRPr="00FA23DA">
        <w:rPr>
          <w:rFonts w:ascii="Times New Roman" w:hAnsi="Times New Roman" w:cs="Times New Roman"/>
          <w:sz w:val="28"/>
          <w:szCs w:val="28"/>
        </w:rPr>
        <w:t>на три категорії:</w:t>
      </w:r>
    </w:p>
    <w:p w14:paraId="0FCF2103" w14:textId="77777777" w:rsidR="00B1676F" w:rsidRPr="00FA23DA" w:rsidRDefault="00B1676F" w:rsidP="00FA23DA">
      <w:pPr>
        <w:pStyle w:val="ListParagraph"/>
        <w:numPr>
          <w:ilvl w:val="0"/>
          <w:numId w:val="1"/>
        </w:numPr>
        <w:tabs>
          <w:tab w:val="left" w:pos="993"/>
        </w:tabs>
        <w:spacing w:after="0" w:line="360" w:lineRule="auto"/>
        <w:ind w:left="0" w:firstLine="709"/>
        <w:jc w:val="both"/>
        <w:rPr>
          <w:rFonts w:ascii="Times New Roman" w:hAnsi="Times New Roman" w:cs="Times New Roman"/>
          <w:sz w:val="28"/>
          <w:szCs w:val="28"/>
        </w:rPr>
      </w:pPr>
      <w:r w:rsidRPr="00FA23DA">
        <w:rPr>
          <w:rFonts w:ascii="Times New Roman" w:hAnsi="Times New Roman" w:cs="Times New Roman"/>
          <w:sz w:val="28"/>
          <w:szCs w:val="28"/>
        </w:rPr>
        <w:t>відносини, що виникають між суб’єктами владних повноважень;</w:t>
      </w:r>
    </w:p>
    <w:p w14:paraId="18322391" w14:textId="77777777" w:rsidR="00B1676F" w:rsidRPr="00FA23DA" w:rsidRDefault="00B1676F" w:rsidP="00FA23DA">
      <w:pPr>
        <w:pStyle w:val="ListParagraph"/>
        <w:numPr>
          <w:ilvl w:val="0"/>
          <w:numId w:val="1"/>
        </w:numPr>
        <w:tabs>
          <w:tab w:val="left" w:pos="993"/>
        </w:tabs>
        <w:spacing w:after="0" w:line="360" w:lineRule="auto"/>
        <w:ind w:left="0" w:firstLine="709"/>
        <w:jc w:val="both"/>
        <w:rPr>
          <w:rFonts w:ascii="Times New Roman" w:hAnsi="Times New Roman" w:cs="Times New Roman"/>
          <w:sz w:val="28"/>
          <w:szCs w:val="28"/>
        </w:rPr>
      </w:pPr>
      <w:r w:rsidRPr="00FA23DA">
        <w:rPr>
          <w:rFonts w:ascii="Times New Roman" w:hAnsi="Times New Roman" w:cs="Times New Roman"/>
          <w:sz w:val="28"/>
          <w:szCs w:val="28"/>
        </w:rPr>
        <w:t>відносини, що виникають між суб’єктом владних повноважень та іншими суб’єктами права;</w:t>
      </w:r>
    </w:p>
    <w:p w14:paraId="568B4359" w14:textId="77777777" w:rsidR="00B1676F" w:rsidRPr="00FA23DA" w:rsidRDefault="00B1676F" w:rsidP="00FA23DA">
      <w:pPr>
        <w:pStyle w:val="ListParagraph"/>
        <w:numPr>
          <w:ilvl w:val="0"/>
          <w:numId w:val="1"/>
        </w:numPr>
        <w:tabs>
          <w:tab w:val="left" w:pos="993"/>
        </w:tabs>
        <w:spacing w:after="0" w:line="360" w:lineRule="auto"/>
        <w:ind w:left="0" w:firstLine="709"/>
        <w:jc w:val="both"/>
        <w:rPr>
          <w:rFonts w:ascii="Times New Roman" w:hAnsi="Times New Roman" w:cs="Times New Roman"/>
          <w:sz w:val="28"/>
          <w:szCs w:val="28"/>
        </w:rPr>
      </w:pPr>
      <w:r w:rsidRPr="00FA23DA">
        <w:rPr>
          <w:rFonts w:ascii="Times New Roman" w:hAnsi="Times New Roman" w:cs="Times New Roman"/>
          <w:sz w:val="28"/>
          <w:szCs w:val="28"/>
        </w:rPr>
        <w:t>відносини між іншими суб’єктами права, які прямо стосуються діяльності держави і місцевого самоврядування.</w:t>
      </w:r>
      <w:r w:rsidR="00613838" w:rsidRPr="00FA23DA">
        <w:rPr>
          <w:rStyle w:val="FootnoteReference"/>
          <w:rFonts w:ascii="Times New Roman" w:hAnsi="Times New Roman" w:cs="Times New Roman"/>
          <w:sz w:val="28"/>
          <w:szCs w:val="28"/>
        </w:rPr>
        <w:footnoteReference w:id="26"/>
      </w:r>
    </w:p>
    <w:p w14:paraId="37A386B9" w14:textId="77777777" w:rsidR="00B1676F" w:rsidRPr="00FA23DA" w:rsidRDefault="00175BBC" w:rsidP="00FA23DA">
      <w:pPr>
        <w:tabs>
          <w:tab w:val="left" w:pos="709"/>
        </w:tabs>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Галузі, які входять до складу публічного права можна поділити на матеріальні та процесуальні. Так, до матеріальних публічно-правових галузей входять конституційне, адміністративне, фінансове, податкове право та інші. Відповідно, до процесуальних публічно-правових галузей відносяться кримінальне процесуальне, цивільне процесуальне, адміністративне процесуальне право та </w:t>
      </w:r>
      <w:r w:rsidR="00613838" w:rsidRPr="00FA23DA">
        <w:rPr>
          <w:rFonts w:ascii="Times New Roman" w:hAnsi="Times New Roman" w:cs="Times New Roman"/>
          <w:sz w:val="28"/>
          <w:szCs w:val="28"/>
        </w:rPr>
        <w:t>інші.</w:t>
      </w:r>
      <w:r w:rsidR="00613838" w:rsidRPr="00FA23DA">
        <w:rPr>
          <w:rStyle w:val="FootnoteReference"/>
          <w:rFonts w:ascii="Times New Roman" w:hAnsi="Times New Roman" w:cs="Times New Roman"/>
          <w:sz w:val="28"/>
          <w:szCs w:val="28"/>
        </w:rPr>
        <w:footnoteReference w:id="27"/>
      </w:r>
    </w:p>
    <w:p w14:paraId="1774356F" w14:textId="77777777" w:rsidR="00175BBC" w:rsidRPr="00FA23DA" w:rsidRDefault="00175BBC" w:rsidP="00FA23DA">
      <w:pPr>
        <w:tabs>
          <w:tab w:val="left" w:pos="709"/>
        </w:tabs>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За аналогією з приватним правом звернемо свою увагу на особливості публічного права, які впливають на його тлумачення, та, зокрема, спробуємо їх порівняти.</w:t>
      </w:r>
    </w:p>
    <w:p w14:paraId="6032AF13" w14:textId="77777777" w:rsidR="00175BBC" w:rsidRPr="00FA23DA" w:rsidRDefault="0099433D" w:rsidP="00FA23DA">
      <w:pPr>
        <w:tabs>
          <w:tab w:val="left" w:pos="709"/>
        </w:tabs>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В основі публічного права лежить принцип імперативності, який встановлює чіткі рамки для тих чи інших дій та правовідносин. Відповідно до статті 19 Конституції України суб’єкти владних повноважень (державні органи та органи місцевого самоврядування), їх посадові особи зобов’язані діяти виключно на підставі, в межах повноважень та у спосіб, що передбачені </w:t>
      </w:r>
      <w:r w:rsidRPr="00FA23DA">
        <w:rPr>
          <w:rFonts w:ascii="Times New Roman" w:hAnsi="Times New Roman" w:cs="Times New Roman"/>
          <w:sz w:val="28"/>
          <w:szCs w:val="28"/>
        </w:rPr>
        <w:lastRenderedPageBreak/>
        <w:t>Конституцією та законами України. Отже, ключовий учасник публічно-правових відносин має чіткі обмеження для власної діяльності.</w:t>
      </w:r>
    </w:p>
    <w:p w14:paraId="13735E3F" w14:textId="77777777" w:rsidR="00175BBC" w:rsidRPr="00FA23DA" w:rsidRDefault="0099433D" w:rsidP="00FA23DA">
      <w:pPr>
        <w:tabs>
          <w:tab w:val="left" w:pos="709"/>
        </w:tabs>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Водночас з іншого боку, крім суб’єктів владних повноважень, є інші суб’єкти-учасники правовідносин – фізичні та юридичні особи. Як зазначено у вже згаданій статті 19 Конституції України, ніхто не може бути примушений робити те, що не передбачено законодавством.</w:t>
      </w:r>
      <w:r w:rsidR="003920DA" w:rsidRPr="00FA23DA">
        <w:rPr>
          <w:rFonts w:ascii="Times New Roman" w:hAnsi="Times New Roman" w:cs="Times New Roman"/>
          <w:sz w:val="28"/>
          <w:szCs w:val="28"/>
        </w:rPr>
        <w:t xml:space="preserve"> Отож, крім імперативного принципу, у публічному праві також присутня і </w:t>
      </w:r>
      <w:proofErr w:type="spellStart"/>
      <w:r w:rsidR="003920DA" w:rsidRPr="00FA23DA">
        <w:rPr>
          <w:rFonts w:ascii="Times New Roman" w:hAnsi="Times New Roman" w:cs="Times New Roman"/>
          <w:sz w:val="28"/>
          <w:szCs w:val="28"/>
        </w:rPr>
        <w:t>диспозитивність</w:t>
      </w:r>
      <w:proofErr w:type="spellEnd"/>
      <w:r w:rsidR="003920DA" w:rsidRPr="00FA23DA">
        <w:rPr>
          <w:rFonts w:ascii="Times New Roman" w:hAnsi="Times New Roman" w:cs="Times New Roman"/>
          <w:sz w:val="28"/>
          <w:szCs w:val="28"/>
        </w:rPr>
        <w:t>, хоч і, очевидно, не т</w:t>
      </w:r>
      <w:r w:rsidR="00630F6A" w:rsidRPr="00FA23DA">
        <w:rPr>
          <w:rFonts w:ascii="Times New Roman" w:hAnsi="Times New Roman" w:cs="Times New Roman"/>
          <w:sz w:val="28"/>
          <w:szCs w:val="28"/>
        </w:rPr>
        <w:t>ака сама, як у приватному праві</w:t>
      </w:r>
      <w:r w:rsidR="00FB7EA8" w:rsidRPr="00FA23DA">
        <w:rPr>
          <w:rFonts w:ascii="Times New Roman" w:hAnsi="Times New Roman" w:cs="Times New Roman"/>
          <w:sz w:val="28"/>
          <w:szCs w:val="28"/>
        </w:rPr>
        <w:t>.</w:t>
      </w:r>
    </w:p>
    <w:p w14:paraId="4BF35168" w14:textId="77777777" w:rsidR="00FB7EA8" w:rsidRPr="00FA23DA" w:rsidRDefault="00FB7EA8" w:rsidP="00FA23DA">
      <w:pPr>
        <w:tabs>
          <w:tab w:val="left" w:pos="709"/>
        </w:tabs>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Питання меж діяльності суб’єктів владних повноважень та свобода дій інших осіб доволі часто є проблемними питаннями. Їх встановлення та обґрунтування потребує комплексного аналізу та окремого розгляду у кожному випадку, що і зумовлює необхідність тлумачення таких норм у публічному праві.</w:t>
      </w:r>
    </w:p>
    <w:p w14:paraId="5086D74D" w14:textId="77777777" w:rsidR="00EC6F4E" w:rsidRPr="00FA23DA" w:rsidRDefault="004E4CA5" w:rsidP="00FA23DA">
      <w:pPr>
        <w:tabs>
          <w:tab w:val="left" w:pos="709"/>
        </w:tabs>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Поруч з імперативністю публічного права, ще однією яскравою ознакою є вертикальність відносин. Так, відносини у публічному праві є </w:t>
      </w:r>
      <w:proofErr w:type="spellStart"/>
      <w:r w:rsidRPr="00FA23DA">
        <w:rPr>
          <w:rFonts w:ascii="Times New Roman" w:hAnsi="Times New Roman" w:cs="Times New Roman"/>
          <w:sz w:val="28"/>
          <w:szCs w:val="28"/>
        </w:rPr>
        <w:t>субординаційними</w:t>
      </w:r>
      <w:proofErr w:type="spellEnd"/>
      <w:r w:rsidR="00085FB6" w:rsidRPr="00FA23DA">
        <w:rPr>
          <w:rFonts w:ascii="Times New Roman" w:hAnsi="Times New Roman" w:cs="Times New Roman"/>
          <w:sz w:val="28"/>
          <w:szCs w:val="28"/>
        </w:rPr>
        <w:t xml:space="preserve">, де наявний суб’єкт владних повноважень, який здійснює свої управлінські функції, та особа, щодо якої такі функції здійснюються. З огляду на це, </w:t>
      </w:r>
      <w:r w:rsidR="00EC6F4E" w:rsidRPr="00FA23DA">
        <w:rPr>
          <w:rFonts w:ascii="Times New Roman" w:hAnsi="Times New Roman" w:cs="Times New Roman"/>
          <w:sz w:val="28"/>
          <w:szCs w:val="28"/>
        </w:rPr>
        <w:t xml:space="preserve">під час здійснення тлумачення </w:t>
      </w:r>
      <w:r w:rsidR="00085FB6" w:rsidRPr="00FA23DA">
        <w:rPr>
          <w:rFonts w:ascii="Times New Roman" w:hAnsi="Times New Roman" w:cs="Times New Roman"/>
          <w:sz w:val="28"/>
          <w:szCs w:val="28"/>
        </w:rPr>
        <w:t xml:space="preserve">у публічно-правових </w:t>
      </w:r>
      <w:r w:rsidR="00EC6F4E" w:rsidRPr="00FA23DA">
        <w:rPr>
          <w:rFonts w:ascii="Times New Roman" w:hAnsi="Times New Roman" w:cs="Times New Roman"/>
          <w:sz w:val="28"/>
          <w:szCs w:val="28"/>
        </w:rPr>
        <w:t>норм здійснюється протиставлення суспільного інтересу в особі владних органів та приватного інтересі окремих осіб. Знаходження балансу у протиставленні інтересів доволі часто стає складним завданням, яке має вирішуватися за допомогою тлумачення.</w:t>
      </w:r>
    </w:p>
    <w:p w14:paraId="5FFE7A9D" w14:textId="77777777" w:rsidR="004E4CA5" w:rsidRPr="00FA23DA" w:rsidRDefault="00852AAB" w:rsidP="00FA23DA">
      <w:pPr>
        <w:tabs>
          <w:tab w:val="left" w:pos="709"/>
        </w:tabs>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Публічне право становить велику систему нормативно-правових актів різного рівня, які регулюють великий спектр відносин. До публічного права, зокрема, належать конституційне, фінансове, екологічне</w:t>
      </w:r>
      <w:r w:rsidR="00672ECF" w:rsidRPr="00FA23DA">
        <w:rPr>
          <w:rFonts w:ascii="Times New Roman" w:hAnsi="Times New Roman" w:cs="Times New Roman"/>
          <w:sz w:val="28"/>
          <w:szCs w:val="28"/>
        </w:rPr>
        <w:t xml:space="preserve">, адміністративне, податкове, митне право та інші. Кожна із галузей становить окрему систему із нормами різного рівня. Отже, здійснюючи тлумачення норм публічного права, необхідно комплексно підходити </w:t>
      </w:r>
      <w:r w:rsidR="00540704" w:rsidRPr="00FA23DA">
        <w:rPr>
          <w:rFonts w:ascii="Times New Roman" w:hAnsi="Times New Roman" w:cs="Times New Roman"/>
          <w:sz w:val="28"/>
          <w:szCs w:val="28"/>
        </w:rPr>
        <w:t>до оцінки правовідносин, аналізуючи усі наявні норми.</w:t>
      </w:r>
    </w:p>
    <w:p w14:paraId="40B2CA7A" w14:textId="77777777" w:rsidR="00C870EF" w:rsidRPr="00FA23DA" w:rsidRDefault="00540704"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Подібно до приватного публічне право також містить у собі велику кількість оцінних понять. Зважаючи на це, для забезпечення ефективного регулювання </w:t>
      </w:r>
      <w:r w:rsidR="00097369" w:rsidRPr="00FA23DA">
        <w:rPr>
          <w:rFonts w:ascii="Times New Roman" w:hAnsi="Times New Roman" w:cs="Times New Roman"/>
          <w:sz w:val="28"/>
          <w:szCs w:val="28"/>
        </w:rPr>
        <w:t xml:space="preserve">відносин </w:t>
      </w:r>
      <w:proofErr w:type="spellStart"/>
      <w:r w:rsidR="00D95B5A" w:rsidRPr="00FA23DA">
        <w:rPr>
          <w:rFonts w:ascii="Times New Roman" w:hAnsi="Times New Roman" w:cs="Times New Roman"/>
          <w:sz w:val="28"/>
          <w:szCs w:val="28"/>
        </w:rPr>
        <w:t>нормо</w:t>
      </w:r>
      <w:r w:rsidR="00097369" w:rsidRPr="00FA23DA">
        <w:rPr>
          <w:rFonts w:ascii="Times New Roman" w:hAnsi="Times New Roman" w:cs="Times New Roman"/>
          <w:sz w:val="28"/>
          <w:szCs w:val="28"/>
        </w:rPr>
        <w:t>застосувач</w:t>
      </w:r>
      <w:proofErr w:type="spellEnd"/>
      <w:r w:rsidR="00097369" w:rsidRPr="00FA23DA">
        <w:rPr>
          <w:rFonts w:ascii="Times New Roman" w:hAnsi="Times New Roman" w:cs="Times New Roman"/>
          <w:sz w:val="28"/>
          <w:szCs w:val="28"/>
        </w:rPr>
        <w:t xml:space="preserve"> просто зобов’язаний здійснювати </w:t>
      </w:r>
      <w:r w:rsidR="00097369" w:rsidRPr="00FA23DA">
        <w:rPr>
          <w:rFonts w:ascii="Times New Roman" w:hAnsi="Times New Roman" w:cs="Times New Roman"/>
          <w:sz w:val="28"/>
          <w:szCs w:val="28"/>
        </w:rPr>
        <w:lastRenderedPageBreak/>
        <w:t>тлумачення таких понять, надаючи їм власну інтерпретацію. При тлумаченні оцінних понять інтерпретатор розглядає кожну ситуацію окремо, оцінюючи її та роз’яснюючи конкретне поняття.</w:t>
      </w:r>
    </w:p>
    <w:p w14:paraId="260E8450" w14:textId="77777777" w:rsidR="00097369" w:rsidRPr="00FA23DA" w:rsidRDefault="00E2115C"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Конституція – Основний Закон держави, який посідає </w:t>
      </w:r>
      <w:proofErr w:type="spellStart"/>
      <w:r w:rsidRPr="00FA23DA">
        <w:rPr>
          <w:rFonts w:ascii="Times New Roman" w:hAnsi="Times New Roman" w:cs="Times New Roman"/>
          <w:sz w:val="28"/>
          <w:szCs w:val="28"/>
        </w:rPr>
        <w:t>очільне</w:t>
      </w:r>
      <w:proofErr w:type="spellEnd"/>
      <w:r w:rsidRPr="00FA23DA">
        <w:rPr>
          <w:rFonts w:ascii="Times New Roman" w:hAnsi="Times New Roman" w:cs="Times New Roman"/>
          <w:sz w:val="28"/>
          <w:szCs w:val="28"/>
        </w:rPr>
        <w:t xml:space="preserve"> місце у правовій системі. Зважаючи на імперативність та вертикальність відносин у публічному праві, про які уже неодноразово йшлося, Конституція набуває тут особливої ролі. При протиставленні публічного та приватного інтересу інтерпретатор повинен звертатися до положень Конституції, аналізуючи її положення та відповідні публічно-правові норми на предмет порушення конституційних прав окремої особи.</w:t>
      </w:r>
    </w:p>
    <w:p w14:paraId="15F6AA50" w14:textId="77777777" w:rsidR="000F2157" w:rsidRPr="00FA23DA" w:rsidRDefault="007D6CED"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На відміну від приватного права, де активно застосовується аналогія закону, застосування аналогії у публічному праві стоїть набагато гостріше.</w:t>
      </w:r>
      <w:r w:rsidR="009F7B03" w:rsidRPr="00FA23DA">
        <w:rPr>
          <w:rFonts w:ascii="Times New Roman" w:hAnsi="Times New Roman" w:cs="Times New Roman"/>
          <w:sz w:val="28"/>
          <w:szCs w:val="28"/>
        </w:rPr>
        <w:t xml:space="preserve"> Враховуючи особливості публічно-правових відносин про які йшлося вище, у тому числі їх імперативний характер та вертикальність, та зважаючи на пріоритетність дотримання та захисту прав людини, застосування аналогії у цій сфері є доволі неоднозначним та проблемним.</w:t>
      </w:r>
    </w:p>
    <w:p w14:paraId="32F069D9" w14:textId="77777777" w:rsidR="00855B6C" w:rsidRPr="00FA23DA" w:rsidRDefault="007D6F8E"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Відповідно до висновку В. Ф. </w:t>
      </w:r>
      <w:proofErr w:type="spellStart"/>
      <w:r w:rsidRPr="00FA23DA">
        <w:rPr>
          <w:rFonts w:ascii="Times New Roman" w:hAnsi="Times New Roman" w:cs="Times New Roman"/>
          <w:sz w:val="28"/>
          <w:szCs w:val="28"/>
        </w:rPr>
        <w:t>Асмуса</w:t>
      </w:r>
      <w:proofErr w:type="spellEnd"/>
      <w:r w:rsidRPr="00FA23DA">
        <w:rPr>
          <w:rFonts w:ascii="Times New Roman" w:hAnsi="Times New Roman" w:cs="Times New Roman"/>
          <w:sz w:val="28"/>
          <w:szCs w:val="28"/>
        </w:rPr>
        <w:t xml:space="preserve"> </w:t>
      </w:r>
      <w:r w:rsidR="00FE68D8" w:rsidRPr="00FA23DA">
        <w:rPr>
          <w:rFonts w:ascii="Times New Roman" w:hAnsi="Times New Roman" w:cs="Times New Roman"/>
          <w:sz w:val="28"/>
          <w:szCs w:val="28"/>
        </w:rPr>
        <w:t>«</w:t>
      </w:r>
      <w:r w:rsidRPr="00FA23DA">
        <w:rPr>
          <w:rFonts w:ascii="Times New Roman" w:hAnsi="Times New Roman" w:cs="Times New Roman"/>
          <w:sz w:val="28"/>
          <w:szCs w:val="28"/>
        </w:rPr>
        <w:t>аналогія</w:t>
      </w:r>
      <w:r w:rsidR="00FE68D8" w:rsidRPr="00FA23DA">
        <w:rPr>
          <w:rFonts w:ascii="Times New Roman" w:hAnsi="Times New Roman" w:cs="Times New Roman"/>
          <w:sz w:val="28"/>
          <w:szCs w:val="28"/>
        </w:rPr>
        <w:t xml:space="preserve"> є висновком, який полягає у здогадці, що властивість, яка належить предметам відомої групи і зустрічається в них разом з деякою сукупністю</w:t>
      </w:r>
      <w:r w:rsidRPr="00FA23DA">
        <w:rPr>
          <w:rFonts w:ascii="Times New Roman" w:hAnsi="Times New Roman" w:cs="Times New Roman"/>
          <w:sz w:val="28"/>
          <w:szCs w:val="28"/>
        </w:rPr>
        <w:t xml:space="preserve"> </w:t>
      </w:r>
      <w:r w:rsidR="00FE68D8" w:rsidRPr="00FA23DA">
        <w:rPr>
          <w:rFonts w:ascii="Times New Roman" w:hAnsi="Times New Roman" w:cs="Times New Roman"/>
          <w:sz w:val="28"/>
          <w:szCs w:val="28"/>
        </w:rPr>
        <w:t>інших властивостей, буде належати, крім цих предметів, ще одному предмету, який схожий з предметами групи, оскільки володіє такою ж сукупністю властивостей».</w:t>
      </w:r>
      <w:r w:rsidR="00613838" w:rsidRPr="00FA23DA">
        <w:rPr>
          <w:rStyle w:val="FootnoteReference"/>
          <w:rFonts w:ascii="Times New Roman" w:hAnsi="Times New Roman" w:cs="Times New Roman"/>
          <w:sz w:val="28"/>
          <w:szCs w:val="28"/>
        </w:rPr>
        <w:footnoteReference w:id="28"/>
      </w:r>
    </w:p>
    <w:p w14:paraId="4C1978CE" w14:textId="77777777" w:rsidR="006A7133" w:rsidRPr="00FA23DA" w:rsidRDefault="00FE68D8"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Надаючи характеристику застосуванню аналогії, П. С. </w:t>
      </w:r>
      <w:proofErr w:type="spellStart"/>
      <w:r w:rsidRPr="00FA23DA">
        <w:rPr>
          <w:rFonts w:ascii="Times New Roman" w:hAnsi="Times New Roman" w:cs="Times New Roman"/>
          <w:sz w:val="28"/>
          <w:szCs w:val="28"/>
        </w:rPr>
        <w:t>Елькінд</w:t>
      </w:r>
      <w:proofErr w:type="spellEnd"/>
      <w:r w:rsidRPr="00FA23DA">
        <w:rPr>
          <w:rFonts w:ascii="Times New Roman" w:hAnsi="Times New Roman" w:cs="Times New Roman"/>
          <w:sz w:val="28"/>
          <w:szCs w:val="28"/>
        </w:rPr>
        <w:t xml:space="preserve"> доволі влучно охарактеризува</w:t>
      </w:r>
      <w:r w:rsidR="00613838" w:rsidRPr="00FA23DA">
        <w:rPr>
          <w:rFonts w:ascii="Times New Roman" w:hAnsi="Times New Roman" w:cs="Times New Roman"/>
          <w:sz w:val="28"/>
          <w:szCs w:val="28"/>
        </w:rPr>
        <w:t>ла аналогію, як «неминуче зло».</w:t>
      </w:r>
      <w:r w:rsidR="00613838" w:rsidRPr="00FA23DA">
        <w:rPr>
          <w:rStyle w:val="FootnoteReference"/>
          <w:rFonts w:ascii="Times New Roman" w:hAnsi="Times New Roman" w:cs="Times New Roman"/>
          <w:sz w:val="28"/>
          <w:szCs w:val="28"/>
        </w:rPr>
        <w:footnoteReference w:id="29"/>
      </w:r>
      <w:r w:rsidR="00613838" w:rsidRPr="00FA23DA">
        <w:rPr>
          <w:rFonts w:ascii="Times New Roman" w:hAnsi="Times New Roman" w:cs="Times New Roman"/>
          <w:sz w:val="28"/>
          <w:szCs w:val="28"/>
        </w:rPr>
        <w:t xml:space="preserve"> </w:t>
      </w:r>
      <w:r w:rsidRPr="00FA23DA">
        <w:rPr>
          <w:rFonts w:ascii="Times New Roman" w:hAnsi="Times New Roman" w:cs="Times New Roman"/>
          <w:sz w:val="28"/>
          <w:szCs w:val="28"/>
        </w:rPr>
        <w:t>Так, ідеальною є ситуація, коли абсолютно будь-який аспект суспільних відносин є врегульованим законодавцем. Однак, така ситуація є утопічною, зважаючи на динамічність права, про яку уже йшлося, а також на розвиток суспільних відносин та появу нових явищ і процесів у суспільстві.</w:t>
      </w:r>
      <w:r w:rsidR="00BB5B90" w:rsidRPr="00FA23DA">
        <w:rPr>
          <w:rFonts w:ascii="Times New Roman" w:hAnsi="Times New Roman" w:cs="Times New Roman"/>
          <w:sz w:val="28"/>
          <w:szCs w:val="28"/>
        </w:rPr>
        <w:t xml:space="preserve"> Звідси слідує</w:t>
      </w:r>
      <w:r w:rsidRPr="00FA23DA">
        <w:rPr>
          <w:rFonts w:ascii="Times New Roman" w:hAnsi="Times New Roman" w:cs="Times New Roman"/>
          <w:sz w:val="28"/>
          <w:szCs w:val="28"/>
        </w:rPr>
        <w:t>, що у будь-</w:t>
      </w:r>
      <w:r w:rsidRPr="00FA23DA">
        <w:rPr>
          <w:rFonts w:ascii="Times New Roman" w:hAnsi="Times New Roman" w:cs="Times New Roman"/>
          <w:sz w:val="28"/>
          <w:szCs w:val="28"/>
        </w:rPr>
        <w:lastRenderedPageBreak/>
        <w:t>якій правовій системі завжди існуватиме випадок, коли необхідно буде застосовувати аналогію.</w:t>
      </w:r>
    </w:p>
    <w:p w14:paraId="083C61EA" w14:textId="77777777" w:rsidR="00526E96" w:rsidRPr="00FA23DA" w:rsidRDefault="00BB5B90"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І. Сабо, надаючи оцінку аналогії, зазначав, що її застосування є неминучим у всіх гал</w:t>
      </w:r>
      <w:r w:rsidR="00613838" w:rsidRPr="00FA23DA">
        <w:rPr>
          <w:rFonts w:ascii="Times New Roman" w:hAnsi="Times New Roman" w:cs="Times New Roman"/>
          <w:sz w:val="28"/>
          <w:szCs w:val="28"/>
        </w:rPr>
        <w:t>узях права, крім кримінального.</w:t>
      </w:r>
      <w:r w:rsidR="00613838" w:rsidRPr="00FA23DA">
        <w:rPr>
          <w:rStyle w:val="FootnoteReference"/>
          <w:rFonts w:ascii="Times New Roman" w:hAnsi="Times New Roman" w:cs="Times New Roman"/>
          <w:sz w:val="28"/>
          <w:szCs w:val="28"/>
        </w:rPr>
        <w:footnoteReference w:id="30"/>
      </w:r>
      <w:r w:rsidR="00613838" w:rsidRPr="00FA23DA">
        <w:rPr>
          <w:rFonts w:ascii="Times New Roman" w:hAnsi="Times New Roman" w:cs="Times New Roman"/>
          <w:sz w:val="28"/>
          <w:szCs w:val="28"/>
        </w:rPr>
        <w:t xml:space="preserve"> </w:t>
      </w:r>
      <w:r w:rsidRPr="00FA23DA">
        <w:rPr>
          <w:rFonts w:ascii="Times New Roman" w:hAnsi="Times New Roman" w:cs="Times New Roman"/>
          <w:sz w:val="28"/>
          <w:szCs w:val="28"/>
        </w:rPr>
        <w:t>З цим важко не погодитися, оскільки, наприклад, суд при розгляді справи не може відмовитися від її розгляду, посилаючись на відсутність тієї чи іншої норми. Така відмова потягне за собою порушення невід’ємних прав людини на справедливий суд. Отже, за відсутності конкретної норми має застосовуватися аналогія. Однак, відкритим залишається лише питання у рівні її застосування та його межах.</w:t>
      </w:r>
    </w:p>
    <w:p w14:paraId="0F84F0C7" w14:textId="77777777" w:rsidR="00BB5B90" w:rsidRPr="00FA23DA" w:rsidRDefault="00BB5B90"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Надаючи характеристику приватноправовим та публічно-правовим відносинам, ми навмисно не вказували на приналежність кримінального права до однієї з підсистем. Це зумовлено специфікою відносин у сфері кримінального права та неоднозначністю підходів до їх категоризації. </w:t>
      </w:r>
    </w:p>
    <w:p w14:paraId="7A15C08E" w14:textId="77777777" w:rsidR="002A0EB7" w:rsidRPr="00FA23DA" w:rsidRDefault="001F24F5"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Одним з основних завдань кримінального права є охорона правопорядку від злочинних посягань. Однак, його мета не обмежується лише публічним інтересом. Так, захист суб’єктивних прав (право на життя, особисту недоторканність, недоторканість власності та інші) є не менш важливим завданням кримінального права. Зважаючи на це, все більших обертів набирає тенденція </w:t>
      </w:r>
      <w:proofErr w:type="spellStart"/>
      <w:r w:rsidRPr="00FA23DA">
        <w:rPr>
          <w:rFonts w:ascii="Times New Roman" w:hAnsi="Times New Roman" w:cs="Times New Roman"/>
          <w:sz w:val="28"/>
          <w:szCs w:val="28"/>
        </w:rPr>
        <w:t>невіднесення</w:t>
      </w:r>
      <w:proofErr w:type="spellEnd"/>
      <w:r w:rsidRPr="00FA23DA">
        <w:rPr>
          <w:rFonts w:ascii="Times New Roman" w:hAnsi="Times New Roman" w:cs="Times New Roman"/>
          <w:sz w:val="28"/>
          <w:szCs w:val="28"/>
        </w:rPr>
        <w:t xml:space="preserve"> кримінального права до публічних галузей.</w:t>
      </w:r>
      <w:r w:rsidR="00613838" w:rsidRPr="00FA23DA">
        <w:rPr>
          <w:rStyle w:val="FootnoteReference"/>
          <w:rFonts w:ascii="Times New Roman" w:hAnsi="Times New Roman" w:cs="Times New Roman"/>
          <w:sz w:val="28"/>
          <w:szCs w:val="28"/>
        </w:rPr>
        <w:footnoteReference w:id="31"/>
      </w:r>
    </w:p>
    <w:p w14:paraId="2F89059E" w14:textId="77777777" w:rsidR="00C04728" w:rsidRPr="00FA23DA" w:rsidRDefault="00C04728"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На противагу цьому Р. </w:t>
      </w:r>
      <w:proofErr w:type="spellStart"/>
      <w:r w:rsidRPr="00FA23DA">
        <w:rPr>
          <w:rFonts w:ascii="Times New Roman" w:hAnsi="Times New Roman" w:cs="Times New Roman"/>
          <w:sz w:val="28"/>
          <w:szCs w:val="28"/>
        </w:rPr>
        <w:t>Дворкін</w:t>
      </w:r>
      <w:proofErr w:type="spellEnd"/>
      <w:r w:rsidRPr="00FA23DA">
        <w:rPr>
          <w:rFonts w:ascii="Times New Roman" w:hAnsi="Times New Roman" w:cs="Times New Roman"/>
          <w:sz w:val="28"/>
          <w:szCs w:val="28"/>
        </w:rPr>
        <w:t xml:space="preserve"> зазначав про те, що у приватному судочинстві майже в усіх випадках виграє одна з двох конкуруючих сторін. Кримінальному праву, у свою чергу, притаманні риси публічного права, за яким підсудний несе відповідальність за свої злочини перед суспільством. За словами </w:t>
      </w:r>
      <w:proofErr w:type="spellStart"/>
      <w:r w:rsidRPr="00FA23DA">
        <w:rPr>
          <w:rFonts w:ascii="Times New Roman" w:hAnsi="Times New Roman" w:cs="Times New Roman"/>
          <w:sz w:val="28"/>
          <w:szCs w:val="28"/>
        </w:rPr>
        <w:t>Дворкіна</w:t>
      </w:r>
      <w:proofErr w:type="spellEnd"/>
      <w:r w:rsidRPr="00FA23DA">
        <w:rPr>
          <w:rFonts w:ascii="Times New Roman" w:hAnsi="Times New Roman" w:cs="Times New Roman"/>
          <w:sz w:val="28"/>
          <w:szCs w:val="28"/>
        </w:rPr>
        <w:t xml:space="preserve">: «геометрія кримінального переслідування не протиставляє протилежні права одне одному </w:t>
      </w:r>
      <w:r w:rsidRPr="00FA23DA">
        <w:rPr>
          <w:rFonts w:ascii="Times New Roman" w:hAnsi="Times New Roman" w:cs="Times New Roman"/>
          <w:sz w:val="28"/>
          <w:szCs w:val="28"/>
          <w:lang w:val="ru-RU"/>
        </w:rPr>
        <w:t>[</w:t>
      </w:r>
      <w:r w:rsidRPr="00FA23DA">
        <w:rPr>
          <w:rFonts w:ascii="Times New Roman" w:hAnsi="Times New Roman" w:cs="Times New Roman"/>
          <w:sz w:val="28"/>
          <w:szCs w:val="28"/>
        </w:rPr>
        <w:t>і тому</w:t>
      </w:r>
      <w:r w:rsidRPr="00FA23DA">
        <w:rPr>
          <w:rFonts w:ascii="Times New Roman" w:hAnsi="Times New Roman" w:cs="Times New Roman"/>
          <w:sz w:val="28"/>
          <w:szCs w:val="28"/>
          <w:lang w:val="ru-RU"/>
        </w:rPr>
        <w:t xml:space="preserve">] </w:t>
      </w:r>
      <w:proofErr w:type="spellStart"/>
      <w:r w:rsidRPr="00FA23DA">
        <w:rPr>
          <w:rFonts w:ascii="Times New Roman" w:hAnsi="Times New Roman" w:cs="Times New Roman"/>
          <w:sz w:val="28"/>
          <w:szCs w:val="28"/>
          <w:lang w:val="ru-RU"/>
        </w:rPr>
        <w:t>відрізняється</w:t>
      </w:r>
      <w:proofErr w:type="spellEnd"/>
      <w:r w:rsidRPr="00FA23DA">
        <w:rPr>
          <w:rFonts w:ascii="Times New Roman" w:hAnsi="Times New Roman" w:cs="Times New Roman"/>
          <w:sz w:val="28"/>
          <w:szCs w:val="28"/>
          <w:lang w:val="ru-RU"/>
        </w:rPr>
        <w:t xml:space="preserve"> </w:t>
      </w:r>
      <w:proofErr w:type="spellStart"/>
      <w:r w:rsidRPr="00FA23DA">
        <w:rPr>
          <w:rFonts w:ascii="Times New Roman" w:hAnsi="Times New Roman" w:cs="Times New Roman"/>
          <w:sz w:val="28"/>
          <w:szCs w:val="28"/>
          <w:lang w:val="ru-RU"/>
        </w:rPr>
        <w:t>від</w:t>
      </w:r>
      <w:proofErr w:type="spellEnd"/>
      <w:r w:rsidRPr="00FA23DA">
        <w:rPr>
          <w:rFonts w:ascii="Times New Roman" w:hAnsi="Times New Roman" w:cs="Times New Roman"/>
          <w:sz w:val="28"/>
          <w:szCs w:val="28"/>
          <w:lang w:val="ru-RU"/>
        </w:rPr>
        <w:t xml:space="preserve"> </w:t>
      </w:r>
      <w:proofErr w:type="spellStart"/>
      <w:r w:rsidRPr="00FA23DA">
        <w:rPr>
          <w:rFonts w:ascii="Times New Roman" w:hAnsi="Times New Roman" w:cs="Times New Roman"/>
          <w:sz w:val="28"/>
          <w:szCs w:val="28"/>
          <w:lang w:val="ru-RU"/>
        </w:rPr>
        <w:t>тези</w:t>
      </w:r>
      <w:proofErr w:type="spellEnd"/>
      <w:r w:rsidRPr="00FA23DA">
        <w:rPr>
          <w:rFonts w:ascii="Times New Roman" w:hAnsi="Times New Roman" w:cs="Times New Roman"/>
          <w:sz w:val="28"/>
          <w:szCs w:val="28"/>
          <w:lang w:val="ru-RU"/>
        </w:rPr>
        <w:t xml:space="preserve"> про права, </w:t>
      </w:r>
      <w:proofErr w:type="spellStart"/>
      <w:r w:rsidRPr="00FA23DA">
        <w:rPr>
          <w:rFonts w:ascii="Times New Roman" w:hAnsi="Times New Roman" w:cs="Times New Roman"/>
          <w:sz w:val="28"/>
          <w:szCs w:val="28"/>
          <w:lang w:val="ru-RU"/>
        </w:rPr>
        <w:t>які</w:t>
      </w:r>
      <w:proofErr w:type="spellEnd"/>
      <w:r w:rsidRPr="00FA23DA">
        <w:rPr>
          <w:rFonts w:ascii="Times New Roman" w:hAnsi="Times New Roman" w:cs="Times New Roman"/>
          <w:sz w:val="28"/>
          <w:szCs w:val="28"/>
          <w:lang w:val="ru-RU"/>
        </w:rPr>
        <w:t xml:space="preserve"> </w:t>
      </w:r>
      <w:proofErr w:type="spellStart"/>
      <w:r w:rsidRPr="00FA23DA">
        <w:rPr>
          <w:rFonts w:ascii="Times New Roman" w:hAnsi="Times New Roman" w:cs="Times New Roman"/>
          <w:sz w:val="28"/>
          <w:szCs w:val="28"/>
          <w:lang w:val="ru-RU"/>
        </w:rPr>
        <w:t>виконуються</w:t>
      </w:r>
      <w:proofErr w:type="spellEnd"/>
      <w:r w:rsidRPr="00FA23DA">
        <w:rPr>
          <w:rFonts w:ascii="Times New Roman" w:hAnsi="Times New Roman" w:cs="Times New Roman"/>
          <w:sz w:val="28"/>
          <w:szCs w:val="28"/>
          <w:lang w:val="ru-RU"/>
        </w:rPr>
        <w:t xml:space="preserve"> </w:t>
      </w:r>
      <w:proofErr w:type="spellStart"/>
      <w:r w:rsidRPr="00FA23DA">
        <w:rPr>
          <w:rFonts w:ascii="Times New Roman" w:hAnsi="Times New Roman" w:cs="Times New Roman"/>
          <w:sz w:val="28"/>
          <w:szCs w:val="28"/>
          <w:lang w:val="ru-RU"/>
        </w:rPr>
        <w:t>симетрично</w:t>
      </w:r>
      <w:proofErr w:type="spellEnd"/>
      <w:r w:rsidRPr="00FA23DA">
        <w:rPr>
          <w:rFonts w:ascii="Times New Roman" w:hAnsi="Times New Roman" w:cs="Times New Roman"/>
          <w:sz w:val="28"/>
          <w:szCs w:val="28"/>
          <w:lang w:val="ru-RU"/>
        </w:rPr>
        <w:t>».</w:t>
      </w:r>
      <w:r w:rsidR="00613838" w:rsidRPr="00FA23DA">
        <w:rPr>
          <w:rStyle w:val="FootnoteReference"/>
          <w:rFonts w:ascii="Times New Roman" w:hAnsi="Times New Roman" w:cs="Times New Roman"/>
          <w:sz w:val="28"/>
          <w:szCs w:val="28"/>
          <w:lang w:val="ru-RU"/>
        </w:rPr>
        <w:footnoteReference w:id="32"/>
      </w:r>
    </w:p>
    <w:p w14:paraId="36A945F5" w14:textId="77777777" w:rsidR="001F24F5" w:rsidRPr="00FA23DA" w:rsidRDefault="001F24F5"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lastRenderedPageBreak/>
        <w:t xml:space="preserve">Водночас та неможливість проведення чітких меж між приватним і публічним правом надає нам простір для роздумів щодо </w:t>
      </w:r>
      <w:r w:rsidR="00BF6EDB" w:rsidRPr="00FA23DA">
        <w:rPr>
          <w:rFonts w:ascii="Times New Roman" w:hAnsi="Times New Roman" w:cs="Times New Roman"/>
          <w:sz w:val="28"/>
          <w:szCs w:val="28"/>
        </w:rPr>
        <w:t>амбівалентності кримінального права. Тобто відносини у цій галузі у зв’язку з еволюцією відносин можуть набувати як приватноправового, так і публічно-правового характеру.</w:t>
      </w:r>
    </w:p>
    <w:p w14:paraId="16ED8D64" w14:textId="77777777" w:rsidR="00F636EE" w:rsidRPr="00FA23DA" w:rsidRDefault="00F636EE"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Однак, якщо поглянути на кримінальне право крізь призму його тлумачення, його віднесення саме до публічних галузей права видається більш доречним. Кримінальне право, як інші традиційні публічні галузі права, у силу предмету регулювання за своєю сутністю має бути максимально стабільним та передбачуваним, тому процес його тлумачення має біль</w:t>
      </w:r>
      <w:r w:rsidR="00406DFA" w:rsidRPr="00FA23DA">
        <w:rPr>
          <w:rFonts w:ascii="Times New Roman" w:hAnsi="Times New Roman" w:cs="Times New Roman"/>
          <w:sz w:val="28"/>
          <w:szCs w:val="28"/>
        </w:rPr>
        <w:t>ше особливостей та обмежень, ніж</w:t>
      </w:r>
      <w:r w:rsidRPr="00FA23DA">
        <w:rPr>
          <w:rFonts w:ascii="Times New Roman" w:hAnsi="Times New Roman" w:cs="Times New Roman"/>
          <w:sz w:val="28"/>
          <w:szCs w:val="28"/>
        </w:rPr>
        <w:t xml:space="preserve"> у приватноправових відносинах. З огляду на це, у контексті тлумачення кримінального права будемо відносити його саме до публічних галузей. Водночас, як уже зазначалося, до такого розподілу потрібно ставитися більш умовно.</w:t>
      </w:r>
    </w:p>
    <w:p w14:paraId="3255F073" w14:textId="77777777" w:rsidR="001F24F5" w:rsidRPr="00FA23DA" w:rsidRDefault="001C5238"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Публічне право, як одна з підсистем права, та кримінальне право, як одна з галузей права, мають однакові вимоги щодо своєї стабільності та визначеності. З огляду на це, особлива увага приділяється питанню їхнього тлумачення. Великі дискусії викликає розгляд можливості здійснення розширеного тлумачення у таких галузях. Низка науковців однозначно стверджують про неприпустимість такого тлумачення та наводять багато аргументів проти цього. Однак, є частина тих, хто має протилежну думку.</w:t>
      </w:r>
    </w:p>
    <w:p w14:paraId="25F62B52" w14:textId="77777777" w:rsidR="00F0505B" w:rsidRPr="00FA23DA" w:rsidRDefault="00F0505B"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Постійний розвиток встановлених принципів є одним з найефективніших чинників громадянського прогресу нації. Такі принципи розкриваються поступово, час від часу змінюючись, розкриваючись або обмежуючись внаслідок </w:t>
      </w:r>
      <w:r w:rsidR="00406DFA" w:rsidRPr="00FA23DA">
        <w:rPr>
          <w:rFonts w:ascii="Times New Roman" w:hAnsi="Times New Roman" w:cs="Times New Roman"/>
          <w:sz w:val="28"/>
          <w:szCs w:val="28"/>
        </w:rPr>
        <w:t>людських дій. «Кодекс – це не г</w:t>
      </w:r>
      <w:r w:rsidRPr="00FA23DA">
        <w:rPr>
          <w:rFonts w:ascii="Times New Roman" w:hAnsi="Times New Roman" w:cs="Times New Roman"/>
          <w:sz w:val="28"/>
          <w:szCs w:val="28"/>
        </w:rPr>
        <w:t>е</w:t>
      </w:r>
      <w:r w:rsidR="00406DFA" w:rsidRPr="00FA23DA">
        <w:rPr>
          <w:rFonts w:ascii="Times New Roman" w:hAnsi="Times New Roman" w:cs="Times New Roman"/>
          <w:sz w:val="28"/>
          <w:szCs w:val="28"/>
        </w:rPr>
        <w:t>р</w:t>
      </w:r>
      <w:r w:rsidRPr="00FA23DA">
        <w:rPr>
          <w:rFonts w:ascii="Times New Roman" w:hAnsi="Times New Roman" w:cs="Times New Roman"/>
          <w:sz w:val="28"/>
          <w:szCs w:val="28"/>
        </w:rPr>
        <w:t>барій», у якому лежать закони, як засушені рослини. Навпаки, кодекс – це плід, який вирощений із громадянського життя нації і у якому закладено насіння для майбутніх зростань.</w:t>
      </w:r>
      <w:r w:rsidRPr="00FA23DA">
        <w:rPr>
          <w:rStyle w:val="FootnoteReference"/>
          <w:rFonts w:ascii="Times New Roman" w:hAnsi="Times New Roman" w:cs="Times New Roman"/>
          <w:sz w:val="28"/>
          <w:szCs w:val="28"/>
        </w:rPr>
        <w:footnoteReference w:id="33"/>
      </w:r>
    </w:p>
    <w:p w14:paraId="6FE89D76" w14:textId="77777777" w:rsidR="00F0505B" w:rsidRPr="00FA23DA" w:rsidRDefault="00F0505B"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lastRenderedPageBreak/>
        <w:t>Роль тлумачення надзвичайно велика і ніхто ніколи не обходився без нього. Така потреба у тлумачення закладена у самій природі речей, нашого розуму та мови. Так, у державах, де існують кодекси (Франція, Австрія, Німеччина та інші) обов’язково призначається орган, який надає пояснення у випадку наявності будь-яких сумнівів.</w:t>
      </w:r>
      <w:r w:rsidRPr="00FA23DA">
        <w:rPr>
          <w:rStyle w:val="FootnoteReference"/>
          <w:rFonts w:ascii="Times New Roman" w:hAnsi="Times New Roman" w:cs="Times New Roman"/>
          <w:sz w:val="28"/>
          <w:szCs w:val="28"/>
        </w:rPr>
        <w:footnoteReference w:id="34"/>
      </w:r>
    </w:p>
    <w:p w14:paraId="49EDAC4E" w14:textId="77777777" w:rsidR="001C5238" w:rsidRPr="00FA23DA" w:rsidRDefault="001C5238"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Розширене тлумачення норм права здійснюється тоді, коли дійсний зміст норми є ширшим за її текстуальне вираження. Це необхідно, зокрема, тоді, коли норма сформульована досить лаконічно та потребує пояснення для правильного застосування. Також таке тлумачення необхідне у випадку, коли існує незавершений перелік обставин та умов реалізації норм права.</w:t>
      </w:r>
      <w:r w:rsidR="00AE0087" w:rsidRPr="00FA23DA">
        <w:rPr>
          <w:rStyle w:val="FootnoteReference"/>
          <w:rFonts w:ascii="Times New Roman" w:hAnsi="Times New Roman" w:cs="Times New Roman"/>
          <w:sz w:val="28"/>
          <w:szCs w:val="28"/>
        </w:rPr>
        <w:footnoteReference w:id="35"/>
      </w:r>
    </w:p>
    <w:p w14:paraId="3DF810AA" w14:textId="77777777" w:rsidR="00B11D43" w:rsidRPr="00FA23DA" w:rsidRDefault="00B11D43" w:rsidP="00FA23DA">
      <w:pPr>
        <w:spacing w:after="0" w:line="360" w:lineRule="auto"/>
        <w:ind w:firstLine="709"/>
        <w:jc w:val="both"/>
        <w:rPr>
          <w:rFonts w:ascii="Times New Roman" w:hAnsi="Times New Roman" w:cs="Times New Roman"/>
          <w:sz w:val="28"/>
          <w:szCs w:val="28"/>
          <w:shd w:val="clear" w:color="auto" w:fill="FFFFFF"/>
        </w:rPr>
      </w:pPr>
      <w:r w:rsidRPr="00FA23DA">
        <w:rPr>
          <w:rFonts w:ascii="Times New Roman" w:hAnsi="Times New Roman" w:cs="Times New Roman"/>
          <w:sz w:val="28"/>
          <w:szCs w:val="28"/>
          <w:shd w:val="clear" w:color="auto" w:fill="FFFFFF"/>
        </w:rPr>
        <w:t xml:space="preserve">Результати </w:t>
      </w:r>
      <w:r w:rsidR="00993DC6" w:rsidRPr="00FA23DA">
        <w:rPr>
          <w:rFonts w:ascii="Times New Roman" w:hAnsi="Times New Roman" w:cs="Times New Roman"/>
          <w:sz w:val="28"/>
          <w:szCs w:val="28"/>
          <w:shd w:val="clear" w:color="auto" w:fill="FFFFFF"/>
        </w:rPr>
        <w:t>такого</w:t>
      </w:r>
      <w:r w:rsidRPr="00FA23DA">
        <w:rPr>
          <w:rFonts w:ascii="Times New Roman" w:hAnsi="Times New Roman" w:cs="Times New Roman"/>
          <w:sz w:val="28"/>
          <w:szCs w:val="28"/>
          <w:shd w:val="clear" w:color="auto" w:fill="FFFFFF"/>
        </w:rPr>
        <w:t xml:space="preserve"> тлумачення виражаються у </w:t>
      </w:r>
      <w:proofErr w:type="spellStart"/>
      <w:r w:rsidRPr="00FA23DA">
        <w:rPr>
          <w:rFonts w:ascii="Times New Roman" w:hAnsi="Times New Roman" w:cs="Times New Roman"/>
          <w:sz w:val="28"/>
          <w:szCs w:val="28"/>
          <w:shd w:val="clear" w:color="auto" w:fill="FFFFFF"/>
        </w:rPr>
        <w:t>інтерпретаційно</w:t>
      </w:r>
      <w:proofErr w:type="spellEnd"/>
      <w:r w:rsidRPr="00FA23DA">
        <w:rPr>
          <w:rFonts w:ascii="Times New Roman" w:hAnsi="Times New Roman" w:cs="Times New Roman"/>
          <w:sz w:val="28"/>
          <w:szCs w:val="28"/>
          <w:shd w:val="clear" w:color="auto" w:fill="FFFFFF"/>
        </w:rPr>
        <w:t xml:space="preserve">-правовому або </w:t>
      </w:r>
      <w:proofErr w:type="spellStart"/>
      <w:r w:rsidRPr="00FA23DA">
        <w:rPr>
          <w:rFonts w:ascii="Times New Roman" w:hAnsi="Times New Roman" w:cs="Times New Roman"/>
          <w:sz w:val="28"/>
          <w:szCs w:val="28"/>
          <w:shd w:val="clear" w:color="auto" w:fill="FFFFFF"/>
        </w:rPr>
        <w:t>правотлумачному</w:t>
      </w:r>
      <w:proofErr w:type="spellEnd"/>
      <w:r w:rsidRPr="00FA23DA">
        <w:rPr>
          <w:rFonts w:ascii="Times New Roman" w:hAnsi="Times New Roman" w:cs="Times New Roman"/>
          <w:sz w:val="28"/>
          <w:szCs w:val="28"/>
          <w:shd w:val="clear" w:color="auto" w:fill="FFFFFF"/>
        </w:rPr>
        <w:t xml:space="preserve"> акті, який містить формально-обов’язкові правила-роз’яснення змісту правової норми. Водночас такий акт не змінює норму права, а лише роз’яснює її.</w:t>
      </w:r>
      <w:r w:rsidR="0000676B" w:rsidRPr="00FA23DA">
        <w:rPr>
          <w:rStyle w:val="FootnoteReference"/>
          <w:rFonts w:ascii="Times New Roman" w:hAnsi="Times New Roman" w:cs="Times New Roman"/>
          <w:sz w:val="28"/>
          <w:szCs w:val="28"/>
          <w:shd w:val="clear" w:color="auto" w:fill="FFFFFF"/>
        </w:rPr>
        <w:footnoteReference w:id="36"/>
      </w:r>
    </w:p>
    <w:p w14:paraId="70A42BE9" w14:textId="77777777" w:rsidR="000B65BE" w:rsidRPr="00FA23DA" w:rsidRDefault="00406DFA" w:rsidP="00FA23DA">
      <w:pPr>
        <w:spacing w:after="0" w:line="360" w:lineRule="auto"/>
        <w:ind w:firstLine="709"/>
        <w:jc w:val="both"/>
        <w:rPr>
          <w:rFonts w:ascii="Times New Roman" w:hAnsi="Times New Roman" w:cs="Times New Roman"/>
          <w:sz w:val="28"/>
          <w:szCs w:val="28"/>
          <w:shd w:val="clear" w:color="auto" w:fill="FFFFFF"/>
        </w:rPr>
      </w:pPr>
      <w:r w:rsidRPr="00FA23DA">
        <w:rPr>
          <w:rFonts w:ascii="Times New Roman" w:hAnsi="Times New Roman" w:cs="Times New Roman"/>
          <w:sz w:val="28"/>
          <w:szCs w:val="28"/>
          <w:shd w:val="clear" w:color="auto" w:fill="FFFFFF"/>
        </w:rPr>
        <w:t xml:space="preserve">Відповідно до застосовного у кримінальному праві принципу </w:t>
      </w:r>
      <w:proofErr w:type="spellStart"/>
      <w:r w:rsidRPr="00FA23DA">
        <w:rPr>
          <w:rFonts w:ascii="Times New Roman" w:hAnsi="Times New Roman" w:cs="Times New Roman"/>
          <w:sz w:val="28"/>
          <w:szCs w:val="28"/>
          <w:shd w:val="clear" w:color="auto" w:fill="FFFFFF"/>
        </w:rPr>
        <w:t>nulla</w:t>
      </w:r>
      <w:proofErr w:type="spellEnd"/>
      <w:r w:rsidRPr="00FA23DA">
        <w:rPr>
          <w:rFonts w:ascii="Times New Roman" w:hAnsi="Times New Roman" w:cs="Times New Roman"/>
          <w:sz w:val="28"/>
          <w:szCs w:val="28"/>
          <w:shd w:val="clear" w:color="auto" w:fill="FFFFFF"/>
        </w:rPr>
        <w:t xml:space="preserve"> </w:t>
      </w:r>
      <w:proofErr w:type="spellStart"/>
      <w:r w:rsidRPr="00FA23DA">
        <w:rPr>
          <w:rFonts w:ascii="Times New Roman" w:hAnsi="Times New Roman" w:cs="Times New Roman"/>
          <w:sz w:val="28"/>
          <w:szCs w:val="28"/>
          <w:shd w:val="clear" w:color="auto" w:fill="FFFFFF"/>
        </w:rPr>
        <w:t>poena</w:t>
      </w:r>
      <w:proofErr w:type="spellEnd"/>
      <w:r w:rsidRPr="00FA23DA">
        <w:rPr>
          <w:rFonts w:ascii="Times New Roman" w:hAnsi="Times New Roman" w:cs="Times New Roman"/>
          <w:sz w:val="28"/>
          <w:szCs w:val="28"/>
          <w:shd w:val="clear" w:color="auto" w:fill="FFFFFF"/>
        </w:rPr>
        <w:t xml:space="preserve"> </w:t>
      </w:r>
      <w:proofErr w:type="spellStart"/>
      <w:r w:rsidRPr="00FA23DA">
        <w:rPr>
          <w:rFonts w:ascii="Times New Roman" w:hAnsi="Times New Roman" w:cs="Times New Roman"/>
          <w:sz w:val="28"/>
          <w:szCs w:val="28"/>
          <w:shd w:val="clear" w:color="auto" w:fill="FFFFFF"/>
        </w:rPr>
        <w:t>sine</w:t>
      </w:r>
      <w:proofErr w:type="spellEnd"/>
      <w:r w:rsidRPr="00FA23DA">
        <w:rPr>
          <w:rFonts w:ascii="Times New Roman" w:hAnsi="Times New Roman" w:cs="Times New Roman"/>
          <w:sz w:val="28"/>
          <w:szCs w:val="28"/>
          <w:shd w:val="clear" w:color="auto" w:fill="FFFFFF"/>
        </w:rPr>
        <w:t xml:space="preserve"> </w:t>
      </w:r>
      <w:proofErr w:type="spellStart"/>
      <w:r w:rsidRPr="00FA23DA">
        <w:rPr>
          <w:rFonts w:ascii="Times New Roman" w:hAnsi="Times New Roman" w:cs="Times New Roman"/>
          <w:sz w:val="28"/>
          <w:szCs w:val="28"/>
          <w:shd w:val="clear" w:color="auto" w:fill="FFFFFF"/>
        </w:rPr>
        <w:t>lege</w:t>
      </w:r>
      <w:proofErr w:type="spellEnd"/>
      <w:r w:rsidRPr="00FA23DA">
        <w:rPr>
          <w:rFonts w:ascii="Times New Roman" w:hAnsi="Times New Roman" w:cs="Times New Roman"/>
          <w:sz w:val="28"/>
          <w:szCs w:val="28"/>
          <w:shd w:val="clear" w:color="auto" w:fill="FFFFFF"/>
        </w:rPr>
        <w:t xml:space="preserve"> судді повинні користуватися виключно наявними законами та не можуть створювати нове законодавство під час розгляду справ. Однак, як стверджують Д. Канале та </w:t>
      </w:r>
      <w:proofErr w:type="spellStart"/>
      <w:r w:rsidRPr="00FA23DA">
        <w:rPr>
          <w:rFonts w:ascii="Times New Roman" w:hAnsi="Times New Roman" w:cs="Times New Roman"/>
          <w:sz w:val="28"/>
          <w:szCs w:val="28"/>
          <w:shd w:val="clear" w:color="auto" w:fill="FFFFFF"/>
        </w:rPr>
        <w:t>Дж</w:t>
      </w:r>
      <w:proofErr w:type="spellEnd"/>
      <w:r w:rsidRPr="00FA23DA">
        <w:rPr>
          <w:rFonts w:ascii="Times New Roman" w:hAnsi="Times New Roman" w:cs="Times New Roman"/>
          <w:sz w:val="28"/>
          <w:szCs w:val="28"/>
          <w:shd w:val="clear" w:color="auto" w:fill="FFFFFF"/>
        </w:rPr>
        <w:t xml:space="preserve">. </w:t>
      </w:r>
      <w:proofErr w:type="spellStart"/>
      <w:r w:rsidRPr="00FA23DA">
        <w:rPr>
          <w:rFonts w:ascii="Times New Roman" w:hAnsi="Times New Roman" w:cs="Times New Roman"/>
          <w:sz w:val="28"/>
          <w:szCs w:val="28"/>
          <w:shd w:val="clear" w:color="auto" w:fill="FFFFFF"/>
        </w:rPr>
        <w:t>Тузет</w:t>
      </w:r>
      <w:proofErr w:type="spellEnd"/>
      <w:r w:rsidRPr="00FA23DA">
        <w:rPr>
          <w:rFonts w:ascii="Times New Roman" w:hAnsi="Times New Roman" w:cs="Times New Roman"/>
          <w:sz w:val="28"/>
          <w:szCs w:val="28"/>
          <w:shd w:val="clear" w:color="auto" w:fill="FFFFFF"/>
        </w:rPr>
        <w:t>, такий принцип не означає повне позбавлення суддів судового розсуду, адже гнучкість є важливою потребою права загалом, та кримінального права зокрема (очевидно у дещо інших обсягах).</w:t>
      </w:r>
      <w:r w:rsidRPr="00FA23DA">
        <w:rPr>
          <w:rFonts w:ascii="Times New Roman" w:hAnsi="Times New Roman" w:cs="Times New Roman"/>
          <w:sz w:val="28"/>
          <w:szCs w:val="28"/>
          <w:shd w:val="clear" w:color="auto" w:fill="FFFFFF"/>
          <w:lang w:val="ru-RU"/>
        </w:rPr>
        <w:t xml:space="preserve"> </w:t>
      </w:r>
      <w:r w:rsidRPr="00FA23DA">
        <w:rPr>
          <w:rFonts w:ascii="Times New Roman" w:hAnsi="Times New Roman" w:cs="Times New Roman"/>
          <w:sz w:val="28"/>
          <w:szCs w:val="28"/>
          <w:shd w:val="clear" w:color="auto" w:fill="FFFFFF"/>
        </w:rPr>
        <w:t>Так, розширене тлумачення є допустимим у кримінальному праві за умови, що під час такого тлумачення не створюється новий закон.</w:t>
      </w:r>
      <w:r w:rsidR="00580CF9" w:rsidRPr="00FA23DA">
        <w:rPr>
          <w:rStyle w:val="FootnoteReference"/>
          <w:rFonts w:ascii="Times New Roman" w:hAnsi="Times New Roman" w:cs="Times New Roman"/>
          <w:sz w:val="28"/>
          <w:szCs w:val="28"/>
          <w:shd w:val="clear" w:color="auto" w:fill="FFFFFF"/>
        </w:rPr>
        <w:footnoteReference w:id="37"/>
      </w:r>
    </w:p>
    <w:p w14:paraId="653587E6" w14:textId="77777777" w:rsidR="000B65BE" w:rsidRPr="00FA23DA" w:rsidRDefault="000B65BE" w:rsidP="00FA23DA">
      <w:pPr>
        <w:spacing w:after="0" w:line="360" w:lineRule="auto"/>
        <w:ind w:firstLine="709"/>
        <w:jc w:val="both"/>
        <w:rPr>
          <w:rFonts w:ascii="Times New Roman" w:hAnsi="Times New Roman" w:cs="Times New Roman"/>
          <w:sz w:val="28"/>
          <w:szCs w:val="28"/>
          <w:shd w:val="clear" w:color="auto" w:fill="FFFFFF"/>
        </w:rPr>
      </w:pPr>
      <w:r w:rsidRPr="00FA23DA">
        <w:rPr>
          <w:rFonts w:ascii="Times New Roman" w:hAnsi="Times New Roman" w:cs="Times New Roman"/>
          <w:sz w:val="28"/>
          <w:szCs w:val="28"/>
          <w:shd w:val="clear" w:color="auto" w:fill="FFFFFF"/>
        </w:rPr>
        <w:t>Прикладом необхідності застосування розширеного тлумачення правових норм у зв’язку з розвитком суспільних</w:t>
      </w:r>
      <w:r w:rsidR="00993DC6" w:rsidRPr="00FA23DA">
        <w:rPr>
          <w:rFonts w:ascii="Times New Roman" w:hAnsi="Times New Roman" w:cs="Times New Roman"/>
          <w:sz w:val="28"/>
          <w:szCs w:val="28"/>
          <w:shd w:val="clear" w:color="auto" w:fill="FFFFFF"/>
        </w:rPr>
        <w:t xml:space="preserve"> відносин та </w:t>
      </w:r>
      <w:r w:rsidRPr="00FA23DA">
        <w:rPr>
          <w:rFonts w:ascii="Times New Roman" w:hAnsi="Times New Roman" w:cs="Times New Roman"/>
          <w:sz w:val="28"/>
          <w:szCs w:val="28"/>
          <w:shd w:val="clear" w:color="auto" w:fill="FFFFFF"/>
        </w:rPr>
        <w:t xml:space="preserve">технологій є справа Радіо Ватикану. Відповідно до обставин справи, яку розглядав Касаційний суд Італії, </w:t>
      </w:r>
      <w:r w:rsidRPr="00FA23DA">
        <w:rPr>
          <w:rFonts w:ascii="Times New Roman" w:hAnsi="Times New Roman" w:cs="Times New Roman"/>
          <w:sz w:val="28"/>
          <w:szCs w:val="28"/>
          <w:shd w:val="clear" w:color="auto" w:fill="FFFFFF"/>
        </w:rPr>
        <w:lastRenderedPageBreak/>
        <w:t>на території Ватикану були встановлені передавальні вежі, які випромінювали електромагнітні хвилі, що, як було встановлено, несли шкоду населенню поблизу них.</w:t>
      </w:r>
      <w:r w:rsidR="009222C2" w:rsidRPr="00FA23DA">
        <w:rPr>
          <w:rStyle w:val="FootnoteReference"/>
          <w:rFonts w:ascii="Times New Roman" w:hAnsi="Times New Roman" w:cs="Times New Roman"/>
          <w:sz w:val="28"/>
          <w:szCs w:val="28"/>
          <w:shd w:val="clear" w:color="auto" w:fill="FFFFFF"/>
        </w:rPr>
        <w:footnoteReference w:id="38"/>
      </w:r>
    </w:p>
    <w:p w14:paraId="51AB5EF1" w14:textId="77777777" w:rsidR="000B65BE" w:rsidRPr="00FA23DA" w:rsidRDefault="000B65BE" w:rsidP="00FA23DA">
      <w:pPr>
        <w:spacing w:after="0" w:line="360" w:lineRule="auto"/>
        <w:ind w:firstLine="709"/>
        <w:jc w:val="both"/>
        <w:rPr>
          <w:rFonts w:ascii="Times New Roman" w:hAnsi="Times New Roman" w:cs="Times New Roman"/>
          <w:sz w:val="28"/>
          <w:szCs w:val="28"/>
          <w:shd w:val="clear" w:color="auto" w:fill="FFFFFF"/>
        </w:rPr>
      </w:pPr>
      <w:r w:rsidRPr="00FA23DA">
        <w:rPr>
          <w:rFonts w:ascii="Times New Roman" w:hAnsi="Times New Roman" w:cs="Times New Roman"/>
          <w:sz w:val="28"/>
          <w:szCs w:val="28"/>
          <w:shd w:val="clear" w:color="auto" w:fill="FFFFFF"/>
        </w:rPr>
        <w:t>У Кримінальному кодексі Італії передбачено відповідальність за небезпечні викиди речовин (у перекладі з італійської буквально: «небезпечне кидання речей»). Так, суд розглядав питання чи може випромінювання хвиль вважатися «киданням речей», для чого вдався до семантичного аналізу слів «кидання» та «речей».</w:t>
      </w:r>
      <w:r w:rsidR="009222C2" w:rsidRPr="00FA23DA">
        <w:rPr>
          <w:rStyle w:val="FootnoteReference"/>
          <w:rFonts w:ascii="Times New Roman" w:hAnsi="Times New Roman" w:cs="Times New Roman"/>
          <w:sz w:val="28"/>
          <w:szCs w:val="28"/>
          <w:shd w:val="clear" w:color="auto" w:fill="FFFFFF"/>
        </w:rPr>
        <w:footnoteReference w:id="39"/>
      </w:r>
    </w:p>
    <w:p w14:paraId="36661BF8" w14:textId="77777777" w:rsidR="003D21F1" w:rsidRPr="00FA23DA" w:rsidRDefault="000B65BE" w:rsidP="00FA23DA">
      <w:pPr>
        <w:spacing w:after="0" w:line="360" w:lineRule="auto"/>
        <w:ind w:firstLine="709"/>
        <w:jc w:val="both"/>
        <w:rPr>
          <w:rFonts w:ascii="Times New Roman" w:hAnsi="Times New Roman" w:cs="Times New Roman"/>
          <w:sz w:val="28"/>
          <w:szCs w:val="28"/>
          <w:shd w:val="clear" w:color="auto" w:fill="FFFFFF"/>
        </w:rPr>
      </w:pPr>
      <w:r w:rsidRPr="00FA23DA">
        <w:rPr>
          <w:rFonts w:ascii="Times New Roman" w:hAnsi="Times New Roman" w:cs="Times New Roman"/>
          <w:sz w:val="28"/>
          <w:szCs w:val="28"/>
          <w:shd w:val="clear" w:color="auto" w:fill="FFFFFF"/>
        </w:rPr>
        <w:t>Касаційний суд здійснив комплексний аналіз Кримінального кодексу та встановив, що слово «річ» тлумачиться розширено та включає в себе не лише речі, що мають матеріальний вимір, а і нематеріальні, що мають економічну цінність.</w:t>
      </w:r>
      <w:r w:rsidR="003D21F1" w:rsidRPr="00FA23DA">
        <w:rPr>
          <w:rFonts w:ascii="Times New Roman" w:hAnsi="Times New Roman" w:cs="Times New Roman"/>
          <w:sz w:val="28"/>
          <w:szCs w:val="28"/>
          <w:shd w:val="clear" w:color="auto" w:fill="FFFFFF"/>
        </w:rPr>
        <w:t xml:space="preserve"> Водночас щодо слова «кидати» суд зазначив, що його доречно використовувати також і у контексті «випромінювання», та зазначив про наявність таких словосполучень: «кинути крик», «кинути світло», «кинути підозру».</w:t>
      </w:r>
      <w:r w:rsidR="00993DC6" w:rsidRPr="00FA23DA">
        <w:rPr>
          <w:rFonts w:ascii="Times New Roman" w:hAnsi="Times New Roman" w:cs="Times New Roman"/>
          <w:sz w:val="28"/>
          <w:szCs w:val="28"/>
          <w:shd w:val="clear" w:color="auto" w:fill="FFFFFF"/>
        </w:rPr>
        <w:t xml:space="preserve"> </w:t>
      </w:r>
      <w:r w:rsidR="003D21F1" w:rsidRPr="00FA23DA">
        <w:rPr>
          <w:rFonts w:ascii="Times New Roman" w:hAnsi="Times New Roman" w:cs="Times New Roman"/>
          <w:sz w:val="28"/>
          <w:szCs w:val="28"/>
          <w:shd w:val="clear" w:color="auto" w:fill="FFFFFF"/>
        </w:rPr>
        <w:t>Як наслідок, суд дійшов висновку, що випромінювання хвиль підпадає під визначення викидів речовин, передбаченого Кримінальним кодексом Італії.</w:t>
      </w:r>
      <w:r w:rsidR="009222C2" w:rsidRPr="00FA23DA">
        <w:rPr>
          <w:rStyle w:val="FootnoteReference"/>
          <w:rFonts w:ascii="Times New Roman" w:hAnsi="Times New Roman" w:cs="Times New Roman"/>
          <w:sz w:val="28"/>
          <w:szCs w:val="28"/>
          <w:shd w:val="clear" w:color="auto" w:fill="FFFFFF"/>
        </w:rPr>
        <w:footnoteReference w:id="40"/>
      </w:r>
    </w:p>
    <w:p w14:paraId="064BB976" w14:textId="77777777" w:rsidR="000B65BE" w:rsidRPr="00FA23DA" w:rsidRDefault="00993DC6" w:rsidP="00FA23DA">
      <w:pPr>
        <w:spacing w:after="0" w:line="360" w:lineRule="auto"/>
        <w:ind w:firstLine="709"/>
        <w:jc w:val="both"/>
        <w:rPr>
          <w:rFonts w:ascii="Times New Roman" w:hAnsi="Times New Roman" w:cs="Times New Roman"/>
          <w:sz w:val="28"/>
          <w:szCs w:val="28"/>
          <w:shd w:val="clear" w:color="auto" w:fill="FFFFFF"/>
        </w:rPr>
      </w:pPr>
      <w:r w:rsidRPr="00FA23DA">
        <w:rPr>
          <w:rFonts w:ascii="Times New Roman" w:hAnsi="Times New Roman" w:cs="Times New Roman"/>
          <w:sz w:val="28"/>
          <w:szCs w:val="28"/>
          <w:shd w:val="clear" w:color="auto" w:fill="FFFFFF"/>
        </w:rPr>
        <w:t>Отож, розвиток нових технологій зумовлюють появу нових проблемних питань, які належить вирішити у тому числі суду. Зважаючи на неможливість миттєвої реакції на усі зміни суспільного життя з боку законодавця, суд у своїй діяльності застосовує розширене тлумачення норм, що дозволяє забезпечувати ефективне судочинство.</w:t>
      </w:r>
    </w:p>
    <w:p w14:paraId="22169878" w14:textId="77777777" w:rsidR="00AA5507" w:rsidRPr="00FA23DA" w:rsidRDefault="001C5238"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Активно розглядає випадки можливого здійснення </w:t>
      </w:r>
      <w:r w:rsidR="00AA5507" w:rsidRPr="00FA23DA">
        <w:rPr>
          <w:rFonts w:ascii="Times New Roman" w:hAnsi="Times New Roman" w:cs="Times New Roman"/>
          <w:sz w:val="28"/>
          <w:szCs w:val="28"/>
        </w:rPr>
        <w:t>розширеного тлумачення норм к</w:t>
      </w:r>
      <w:r w:rsidR="00406DFA" w:rsidRPr="00FA23DA">
        <w:rPr>
          <w:rFonts w:ascii="Times New Roman" w:hAnsi="Times New Roman" w:cs="Times New Roman"/>
          <w:sz w:val="28"/>
          <w:szCs w:val="28"/>
        </w:rPr>
        <w:t>римінального права Європейський суд</w:t>
      </w:r>
      <w:r w:rsidR="00AA5507" w:rsidRPr="00FA23DA">
        <w:rPr>
          <w:rFonts w:ascii="Times New Roman" w:hAnsi="Times New Roman" w:cs="Times New Roman"/>
          <w:sz w:val="28"/>
          <w:szCs w:val="28"/>
        </w:rPr>
        <w:t xml:space="preserve"> з прав людини</w:t>
      </w:r>
      <w:r w:rsidRPr="00FA23DA">
        <w:rPr>
          <w:rFonts w:ascii="Times New Roman" w:hAnsi="Times New Roman" w:cs="Times New Roman"/>
          <w:sz w:val="28"/>
          <w:szCs w:val="28"/>
        </w:rPr>
        <w:t xml:space="preserve"> (далі – </w:t>
      </w:r>
      <w:r w:rsidRPr="00FA23DA">
        <w:rPr>
          <w:rFonts w:ascii="Times New Roman" w:hAnsi="Times New Roman" w:cs="Times New Roman"/>
          <w:sz w:val="28"/>
          <w:szCs w:val="28"/>
        </w:rPr>
        <w:lastRenderedPageBreak/>
        <w:t>ЄСПЛ)</w:t>
      </w:r>
      <w:r w:rsidR="00AA5507" w:rsidRPr="00FA23DA">
        <w:rPr>
          <w:rFonts w:ascii="Times New Roman" w:hAnsi="Times New Roman" w:cs="Times New Roman"/>
          <w:sz w:val="28"/>
          <w:szCs w:val="28"/>
        </w:rPr>
        <w:t xml:space="preserve">. ЄСПЛ у своїй діяльності надає оцінку одній зі складових принципу законності у кримінальному прав – </w:t>
      </w:r>
      <w:r w:rsidR="00AA5507" w:rsidRPr="00FA23DA">
        <w:rPr>
          <w:rFonts w:ascii="Times New Roman" w:hAnsi="Times New Roman" w:cs="Times New Roman"/>
          <w:sz w:val="28"/>
          <w:szCs w:val="28"/>
          <w:lang w:val="en-US"/>
        </w:rPr>
        <w:t>lex</w:t>
      </w:r>
      <w:r w:rsidR="00AA5507" w:rsidRPr="00FA23DA">
        <w:rPr>
          <w:rFonts w:ascii="Times New Roman" w:hAnsi="Times New Roman" w:cs="Times New Roman"/>
          <w:sz w:val="28"/>
          <w:szCs w:val="28"/>
        </w:rPr>
        <w:t xml:space="preserve"> </w:t>
      </w:r>
      <w:r w:rsidR="00AA5507" w:rsidRPr="00FA23DA">
        <w:rPr>
          <w:rFonts w:ascii="Times New Roman" w:hAnsi="Times New Roman" w:cs="Times New Roman"/>
          <w:sz w:val="28"/>
          <w:szCs w:val="28"/>
          <w:lang w:val="en-US"/>
        </w:rPr>
        <w:t>stricta</w:t>
      </w:r>
      <w:r w:rsidR="00AE0087" w:rsidRPr="00FA23DA">
        <w:rPr>
          <w:rFonts w:ascii="Times New Roman" w:hAnsi="Times New Roman" w:cs="Times New Roman"/>
          <w:sz w:val="28"/>
          <w:szCs w:val="28"/>
        </w:rPr>
        <w:t>.</w:t>
      </w:r>
      <w:r w:rsidR="00AE0087" w:rsidRPr="00FA23DA">
        <w:rPr>
          <w:rStyle w:val="FootnoteReference"/>
          <w:rFonts w:ascii="Times New Roman" w:hAnsi="Times New Roman" w:cs="Times New Roman"/>
          <w:sz w:val="28"/>
          <w:szCs w:val="28"/>
        </w:rPr>
        <w:footnoteReference w:id="41"/>
      </w:r>
    </w:p>
    <w:p w14:paraId="57E3FAB3" w14:textId="77777777" w:rsidR="00AA5507" w:rsidRPr="00FA23DA" w:rsidRDefault="00AA5507"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У статті 7 Конвенції про захист прав людини і основоположних свобод</w:t>
      </w:r>
      <w:r w:rsidR="001C5238" w:rsidRPr="00FA23DA">
        <w:rPr>
          <w:rFonts w:ascii="Times New Roman" w:hAnsi="Times New Roman" w:cs="Times New Roman"/>
          <w:sz w:val="28"/>
          <w:szCs w:val="28"/>
        </w:rPr>
        <w:t xml:space="preserve"> (далі – Конвенція)</w:t>
      </w:r>
      <w:r w:rsidRPr="00FA23DA">
        <w:rPr>
          <w:rFonts w:ascii="Times New Roman" w:hAnsi="Times New Roman" w:cs="Times New Roman"/>
          <w:sz w:val="28"/>
          <w:szCs w:val="28"/>
        </w:rPr>
        <w:t xml:space="preserve"> міститься заборона визнання особи винною у вчиненні кримінального правопорушення, якщо така дія чи бездіяльність на момент її вчинення не становила кримінального правопорушення відповідно до національного закону або міжнародного права. Водночас забороняється призначення суворішого покарання. Крім того, зазначена стаття містить </w:t>
      </w:r>
      <w:r w:rsidR="003B6240" w:rsidRPr="00FA23DA">
        <w:rPr>
          <w:rFonts w:ascii="Times New Roman" w:hAnsi="Times New Roman" w:cs="Times New Roman"/>
          <w:sz w:val="28"/>
          <w:szCs w:val="28"/>
        </w:rPr>
        <w:t>положення, за яким її обмеження не перешкоджають судовому розгляду, а також встановленню покарання, якщо такі дії становили кримінальне правопорушення відповідно до загальних принципів права, визнаних цивілізованими націями.</w:t>
      </w:r>
    </w:p>
    <w:p w14:paraId="60158D53" w14:textId="77777777" w:rsidR="00F636EE" w:rsidRPr="00FA23DA" w:rsidRDefault="00AA5507"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Відповідно до усталеної практики ЄСПЛ норми кримінального права не повинні тлумачитися на шкоду обвинуваченому</w:t>
      </w:r>
      <w:r w:rsidR="003B6240" w:rsidRPr="00FA23DA">
        <w:rPr>
          <w:rFonts w:ascii="Times New Roman" w:hAnsi="Times New Roman" w:cs="Times New Roman"/>
          <w:sz w:val="28"/>
          <w:szCs w:val="28"/>
        </w:rPr>
        <w:t>, у тому числі за аналогією</w:t>
      </w:r>
      <w:r w:rsidRPr="00FA23DA">
        <w:rPr>
          <w:rFonts w:ascii="Times New Roman" w:hAnsi="Times New Roman" w:cs="Times New Roman"/>
          <w:sz w:val="28"/>
          <w:szCs w:val="28"/>
        </w:rPr>
        <w:t>.</w:t>
      </w:r>
      <w:r w:rsidR="003B6240" w:rsidRPr="00FA23DA">
        <w:rPr>
          <w:rFonts w:ascii="Times New Roman" w:hAnsi="Times New Roman" w:cs="Times New Roman"/>
          <w:sz w:val="28"/>
          <w:szCs w:val="28"/>
        </w:rPr>
        <w:t xml:space="preserve"> Однак, ЄСПЛ також наголошує на тому, що незалежно від ступеня і якості формулювання, кримінально-правові норми, як й інші, </w:t>
      </w:r>
      <w:r w:rsidR="005756AF" w:rsidRPr="00FA23DA">
        <w:rPr>
          <w:rFonts w:ascii="Times New Roman" w:hAnsi="Times New Roman" w:cs="Times New Roman"/>
          <w:sz w:val="28"/>
          <w:szCs w:val="28"/>
        </w:rPr>
        <w:t xml:space="preserve">завжди потребують судового тлумачення. Це пов’язано із необхідністю з’ясування сумнівних аспектів, врахування змінюваних обставин, тлумачення та застосування нечітких понять. Так, </w:t>
      </w:r>
      <w:r w:rsidR="00E15921" w:rsidRPr="00FA23DA">
        <w:rPr>
          <w:rFonts w:ascii="Times New Roman" w:hAnsi="Times New Roman" w:cs="Times New Roman"/>
          <w:sz w:val="28"/>
          <w:szCs w:val="28"/>
        </w:rPr>
        <w:t>судова практика періодично змінюється через зміну обставин, а законодавство залишається тим самим. У зв’язку з цим такі зміни практики обов’язково повинні бути обґрунтованими та послідовними.</w:t>
      </w:r>
      <w:r w:rsidR="00AE0087" w:rsidRPr="00FA23DA">
        <w:rPr>
          <w:rStyle w:val="FootnoteReference"/>
          <w:rFonts w:ascii="Times New Roman" w:hAnsi="Times New Roman" w:cs="Times New Roman"/>
          <w:sz w:val="28"/>
          <w:szCs w:val="28"/>
        </w:rPr>
        <w:footnoteReference w:id="42"/>
      </w:r>
    </w:p>
    <w:p w14:paraId="35DBA35D" w14:textId="77777777" w:rsidR="00F636EE" w:rsidRPr="00FA23DA" w:rsidRDefault="008C10BB"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У</w:t>
      </w:r>
      <w:r w:rsidR="00E15921" w:rsidRPr="00FA23DA">
        <w:rPr>
          <w:rFonts w:ascii="Times New Roman" w:hAnsi="Times New Roman" w:cs="Times New Roman"/>
          <w:sz w:val="28"/>
          <w:szCs w:val="28"/>
        </w:rPr>
        <w:t xml:space="preserve"> своїй практиці ЄСПЛ показує, що криміналізація діяння через здійснення розширеного тлумачення є цілком можливою, коли це відповідає суті правопорушен</w:t>
      </w:r>
      <w:r w:rsidR="00AE0087" w:rsidRPr="00FA23DA">
        <w:rPr>
          <w:rFonts w:ascii="Times New Roman" w:hAnsi="Times New Roman" w:cs="Times New Roman"/>
          <w:sz w:val="28"/>
          <w:szCs w:val="28"/>
        </w:rPr>
        <w:t>ня та є розумно передбачуваним.</w:t>
      </w:r>
      <w:r w:rsidR="00AE0087" w:rsidRPr="00FA23DA">
        <w:rPr>
          <w:rStyle w:val="FootnoteReference"/>
          <w:rFonts w:ascii="Times New Roman" w:hAnsi="Times New Roman" w:cs="Times New Roman"/>
          <w:sz w:val="28"/>
          <w:szCs w:val="28"/>
        </w:rPr>
        <w:footnoteReference w:id="43"/>
      </w:r>
      <w:r w:rsidR="00AE0087" w:rsidRPr="00FA23DA">
        <w:rPr>
          <w:rFonts w:ascii="Times New Roman" w:hAnsi="Times New Roman" w:cs="Times New Roman"/>
          <w:sz w:val="28"/>
          <w:szCs w:val="28"/>
        </w:rPr>
        <w:t xml:space="preserve"> </w:t>
      </w:r>
      <w:r w:rsidR="00E15921" w:rsidRPr="00FA23DA">
        <w:rPr>
          <w:rFonts w:ascii="Times New Roman" w:hAnsi="Times New Roman" w:cs="Times New Roman"/>
          <w:sz w:val="28"/>
          <w:szCs w:val="28"/>
        </w:rPr>
        <w:t xml:space="preserve">З огляду на поширеність у правовій доктрині переконання щодо неможливості розширеного тлумачення кримінально-правових, така позиції ЄСПЛ виглядає доволі провокативною та </w:t>
      </w:r>
      <w:r w:rsidR="00E15921" w:rsidRPr="00FA23DA">
        <w:rPr>
          <w:rFonts w:ascii="Times New Roman" w:hAnsi="Times New Roman" w:cs="Times New Roman"/>
          <w:sz w:val="28"/>
          <w:szCs w:val="28"/>
        </w:rPr>
        <w:lastRenderedPageBreak/>
        <w:t>небезпечною. Однак Суд звертає увагу на категорію розумної передбачуваності, яку розкриває під час розгляду справ.</w:t>
      </w:r>
    </w:p>
    <w:p w14:paraId="4616E414" w14:textId="77777777" w:rsidR="00E15921" w:rsidRPr="00FA23DA" w:rsidRDefault="00E15921"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Знаковою у цьому контексті є справа «С. R. проти Сполученого Королівства»</w:t>
      </w:r>
      <w:r w:rsidR="002B77EA" w:rsidRPr="00FA23DA">
        <w:rPr>
          <w:rFonts w:ascii="Times New Roman" w:hAnsi="Times New Roman" w:cs="Times New Roman"/>
          <w:sz w:val="28"/>
          <w:szCs w:val="28"/>
        </w:rPr>
        <w:t>, за обставинами якої чоловік був звинувачений у спробі зґвалтування своєї дружини. Водночас, не погоджуючись з таким рішення, чоловік звернувся до ЄСПЛ із заявою про порушення статті 7 Конвенції, адже на той час у Великій Британії існував подружній імунітет, відповідно до якого такі дії чоловіка не могли вважатися зґвалтуванням.</w:t>
      </w:r>
      <w:r w:rsidR="00AE0087" w:rsidRPr="00FA23DA">
        <w:rPr>
          <w:rStyle w:val="FootnoteReference"/>
          <w:rFonts w:ascii="Times New Roman" w:hAnsi="Times New Roman" w:cs="Times New Roman"/>
          <w:sz w:val="28"/>
          <w:szCs w:val="28"/>
        </w:rPr>
        <w:footnoteReference w:id="44"/>
      </w:r>
    </w:p>
    <w:p w14:paraId="77389D11" w14:textId="77777777" w:rsidR="002B77EA" w:rsidRPr="00FA23DA" w:rsidRDefault="002B77EA"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Розглядаючи справу, ЄСПЛ вказав на характер зґвалтування, який є настільки очевидним, що положення статті 7 Конвенції не порушуються. Суд зазначив, що відмова від наявного у законодавстві імунітету узгоджується з цивілізованою концепцією шлюбу та фундаме</w:t>
      </w:r>
      <w:r w:rsidR="006F2271" w:rsidRPr="00FA23DA">
        <w:rPr>
          <w:rFonts w:ascii="Times New Roman" w:hAnsi="Times New Roman" w:cs="Times New Roman"/>
          <w:sz w:val="28"/>
          <w:szCs w:val="28"/>
        </w:rPr>
        <w:t>нтальними підвалинами Конвенції </w:t>
      </w:r>
      <w:r w:rsidRPr="00FA23DA">
        <w:rPr>
          <w:rFonts w:ascii="Times New Roman" w:hAnsi="Times New Roman" w:cs="Times New Roman"/>
          <w:sz w:val="28"/>
          <w:szCs w:val="28"/>
        </w:rPr>
        <w:t>– повагою д</w:t>
      </w:r>
      <w:r w:rsidR="00AE0087" w:rsidRPr="00FA23DA">
        <w:rPr>
          <w:rFonts w:ascii="Times New Roman" w:hAnsi="Times New Roman" w:cs="Times New Roman"/>
          <w:sz w:val="28"/>
          <w:szCs w:val="28"/>
        </w:rPr>
        <w:t>о людської гідності та свободи.</w:t>
      </w:r>
      <w:r w:rsidR="00AE0087" w:rsidRPr="00FA23DA">
        <w:rPr>
          <w:rStyle w:val="FootnoteReference"/>
          <w:rFonts w:ascii="Times New Roman" w:hAnsi="Times New Roman" w:cs="Times New Roman"/>
          <w:sz w:val="28"/>
          <w:szCs w:val="28"/>
        </w:rPr>
        <w:footnoteReference w:id="45"/>
      </w:r>
    </w:p>
    <w:p w14:paraId="51EE9228" w14:textId="77777777" w:rsidR="00F636EE" w:rsidRPr="00FA23DA" w:rsidRDefault="00BC6FA0"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Сформований ЄСПЛ принцип передбачуваності полягає у тому, що особа повинна припускати, що її поведінка може бути кримінально-караною, та знати покарання, яке може їй загрожувати. Так, Суд звертає увагу на те, що він не є першим та єдиним джерелом тлумачення, адже оцінка потенційних наслідків дій чи бездіяльності може здійснюватися шляхом консультації у професійного юриста, аналізу наукової літератури, норм інших галузей права, міжнарод</w:t>
      </w:r>
      <w:r w:rsidR="00AE0087" w:rsidRPr="00FA23DA">
        <w:rPr>
          <w:rFonts w:ascii="Times New Roman" w:hAnsi="Times New Roman" w:cs="Times New Roman"/>
          <w:sz w:val="28"/>
          <w:szCs w:val="28"/>
        </w:rPr>
        <w:t>но-правовими актами.</w:t>
      </w:r>
      <w:r w:rsidR="00AE0087" w:rsidRPr="00FA23DA">
        <w:rPr>
          <w:rStyle w:val="FootnoteReference"/>
          <w:rFonts w:ascii="Times New Roman" w:hAnsi="Times New Roman" w:cs="Times New Roman"/>
          <w:sz w:val="28"/>
          <w:szCs w:val="28"/>
        </w:rPr>
        <w:footnoteReference w:id="46"/>
      </w:r>
    </w:p>
    <w:p w14:paraId="4869E179" w14:textId="77777777" w:rsidR="00BC6FA0" w:rsidRPr="00FA23DA" w:rsidRDefault="00BC6FA0"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Продовжуючи </w:t>
      </w:r>
      <w:r w:rsidR="002F1E1F" w:rsidRPr="00FA23DA">
        <w:rPr>
          <w:rFonts w:ascii="Times New Roman" w:hAnsi="Times New Roman" w:cs="Times New Roman"/>
          <w:sz w:val="28"/>
          <w:szCs w:val="28"/>
        </w:rPr>
        <w:t>розвиток своєї позиції, ЄСПЛ та</w:t>
      </w:r>
      <w:r w:rsidR="008C10BB" w:rsidRPr="00FA23DA">
        <w:rPr>
          <w:rFonts w:ascii="Times New Roman" w:hAnsi="Times New Roman" w:cs="Times New Roman"/>
          <w:sz w:val="28"/>
          <w:szCs w:val="28"/>
        </w:rPr>
        <w:t>кож стверджує, що при здійсненні</w:t>
      </w:r>
      <w:r w:rsidR="002F1E1F" w:rsidRPr="00FA23DA">
        <w:rPr>
          <w:rFonts w:ascii="Times New Roman" w:hAnsi="Times New Roman" w:cs="Times New Roman"/>
          <w:sz w:val="28"/>
          <w:szCs w:val="28"/>
        </w:rPr>
        <w:t xml:space="preserve"> поширювального тлумачення у кримінальному праві критерій «не на шкоду особі» відходить на другий план. Якщо норма має кілька варіантів тлумачення, кожен з яких є передбачуваним та узгоджується з суттю правопорушення, суд може обрати будь-який варіант включно з тим, що є менш </w:t>
      </w:r>
      <w:r w:rsidR="002F1E1F" w:rsidRPr="00FA23DA">
        <w:rPr>
          <w:rFonts w:ascii="Times New Roman" w:hAnsi="Times New Roman" w:cs="Times New Roman"/>
          <w:sz w:val="28"/>
          <w:szCs w:val="28"/>
        </w:rPr>
        <w:lastRenderedPageBreak/>
        <w:t xml:space="preserve">сприятливим для обвинуваченого. У такому випадку </w:t>
      </w:r>
      <w:r w:rsidR="00002A01" w:rsidRPr="00FA23DA">
        <w:rPr>
          <w:rFonts w:ascii="Times New Roman" w:hAnsi="Times New Roman" w:cs="Times New Roman"/>
          <w:sz w:val="28"/>
          <w:szCs w:val="28"/>
        </w:rPr>
        <w:t>порушення статті 7 Конвенції про захист прав людини і основоположних свобод буде відсутнім.</w:t>
      </w:r>
      <w:r w:rsidR="00AE0087" w:rsidRPr="00FA23DA">
        <w:rPr>
          <w:rStyle w:val="FootnoteReference"/>
          <w:rFonts w:ascii="Times New Roman" w:hAnsi="Times New Roman" w:cs="Times New Roman"/>
          <w:sz w:val="28"/>
          <w:szCs w:val="28"/>
        </w:rPr>
        <w:footnoteReference w:id="47"/>
      </w:r>
    </w:p>
    <w:p w14:paraId="20FBA9BD" w14:textId="77777777" w:rsidR="00A93D17" w:rsidRPr="00FA23DA" w:rsidRDefault="00E06B1F"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Водночас ЄСПЛ вказує на випадки, коли тлумачення буде непередбачуваним та буде суперечити статті 7 Конвенції. Так, неприпустимим є застосування нових підходів у визначенні злочину та покарання, які погіршують становище особи, яка вчинила злочин.</w:t>
      </w:r>
      <w:r w:rsidR="00AE0087" w:rsidRPr="00FA23DA">
        <w:rPr>
          <w:rStyle w:val="FootnoteReference"/>
          <w:rFonts w:ascii="Times New Roman" w:hAnsi="Times New Roman" w:cs="Times New Roman"/>
          <w:sz w:val="28"/>
          <w:szCs w:val="28"/>
        </w:rPr>
        <w:footnoteReference w:id="48"/>
      </w:r>
    </w:p>
    <w:p w14:paraId="71AB75C6" w14:textId="77777777" w:rsidR="0042614D" w:rsidRPr="00FA23DA" w:rsidRDefault="003E230F"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Також не</w:t>
      </w:r>
      <w:r w:rsidR="00A93D17" w:rsidRPr="00FA23DA">
        <w:rPr>
          <w:rFonts w:ascii="Times New Roman" w:hAnsi="Times New Roman" w:cs="Times New Roman"/>
          <w:sz w:val="28"/>
          <w:szCs w:val="28"/>
        </w:rPr>
        <w:t xml:space="preserve"> </w:t>
      </w:r>
      <w:r w:rsidRPr="00FA23DA">
        <w:rPr>
          <w:rFonts w:ascii="Times New Roman" w:hAnsi="Times New Roman" w:cs="Times New Roman"/>
          <w:sz w:val="28"/>
          <w:szCs w:val="28"/>
        </w:rPr>
        <w:t xml:space="preserve">допускається «грубе порушення та свавілля» при застосування норм права національними судами. Прикладом є справа </w:t>
      </w:r>
      <w:r w:rsidR="00BA077F" w:rsidRPr="00FA23DA">
        <w:rPr>
          <w:rFonts w:ascii="Times New Roman" w:hAnsi="Times New Roman" w:cs="Times New Roman"/>
          <w:sz w:val="28"/>
          <w:szCs w:val="28"/>
        </w:rPr>
        <w:t>«</w:t>
      </w:r>
      <w:proofErr w:type="spellStart"/>
      <w:r w:rsidRPr="00FA23DA">
        <w:rPr>
          <w:rFonts w:ascii="Times New Roman" w:hAnsi="Times New Roman" w:cs="Times New Roman"/>
          <w:sz w:val="28"/>
          <w:szCs w:val="28"/>
        </w:rPr>
        <w:t>Liivik</w:t>
      </w:r>
      <w:proofErr w:type="spellEnd"/>
      <w:r w:rsidRPr="00FA23DA">
        <w:rPr>
          <w:rFonts w:ascii="Times New Roman" w:hAnsi="Times New Roman" w:cs="Times New Roman"/>
          <w:sz w:val="28"/>
          <w:szCs w:val="28"/>
        </w:rPr>
        <w:t xml:space="preserve"> проти Естонії</w:t>
      </w:r>
      <w:r w:rsidR="00BA077F" w:rsidRPr="00FA23DA">
        <w:rPr>
          <w:rFonts w:ascii="Times New Roman" w:hAnsi="Times New Roman" w:cs="Times New Roman"/>
          <w:sz w:val="28"/>
          <w:szCs w:val="28"/>
        </w:rPr>
        <w:t>»</w:t>
      </w:r>
      <w:r w:rsidRPr="00FA23DA">
        <w:rPr>
          <w:rFonts w:ascii="Times New Roman" w:hAnsi="Times New Roman" w:cs="Times New Roman"/>
          <w:sz w:val="28"/>
          <w:szCs w:val="28"/>
        </w:rPr>
        <w:t>, де національні суди визнали істотною моральну шкоду державі, що була завдана особою, яка займала високе службове становище. Відповідно до висновку ЄСПЛ такі критерії є розмитими, а результат тлумачення – непередбачуваний.</w:t>
      </w:r>
      <w:r w:rsidR="0061688A" w:rsidRPr="00FA23DA">
        <w:rPr>
          <w:rStyle w:val="FootnoteReference"/>
          <w:rFonts w:ascii="Times New Roman" w:hAnsi="Times New Roman" w:cs="Times New Roman"/>
          <w:sz w:val="28"/>
          <w:szCs w:val="28"/>
        </w:rPr>
        <w:footnoteReference w:id="49"/>
      </w:r>
    </w:p>
    <w:p w14:paraId="59D21D05" w14:textId="77777777" w:rsidR="00293660" w:rsidRPr="00FA23DA" w:rsidRDefault="00A93D17"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Оцінка практики ЄСПЛ з точки зору українського кримінального законодавства викликає певні питання</w:t>
      </w:r>
      <w:r w:rsidR="00B05F69" w:rsidRPr="00FA23DA">
        <w:rPr>
          <w:rFonts w:ascii="Times New Roman" w:hAnsi="Times New Roman" w:cs="Times New Roman"/>
          <w:sz w:val="28"/>
          <w:szCs w:val="28"/>
        </w:rPr>
        <w:t>. Так, відповідно до частини третьої статті 3 Кримінального кодексу України кримінальна протиправність діяння, а також його караність та інші кримінально-правові наслідки визначаються тільки цим Кодексом. Водночас існує думка про те, що таке положення не означає, що Кримінальний кодекс України є єдиним джерелом права.</w:t>
      </w:r>
      <w:r w:rsidR="0061688A" w:rsidRPr="00FA23DA">
        <w:rPr>
          <w:rStyle w:val="FootnoteReference"/>
          <w:rFonts w:ascii="Times New Roman" w:hAnsi="Times New Roman" w:cs="Times New Roman"/>
          <w:sz w:val="28"/>
          <w:szCs w:val="28"/>
        </w:rPr>
        <w:footnoteReference w:id="50"/>
      </w:r>
    </w:p>
    <w:p w14:paraId="6CB03ED3" w14:textId="77777777" w:rsidR="0042614D" w:rsidRPr="00FA23DA" w:rsidRDefault="00B05F69"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А. В. </w:t>
      </w:r>
      <w:proofErr w:type="spellStart"/>
      <w:r w:rsidRPr="00FA23DA">
        <w:rPr>
          <w:rFonts w:ascii="Times New Roman" w:hAnsi="Times New Roman" w:cs="Times New Roman"/>
          <w:sz w:val="28"/>
          <w:szCs w:val="28"/>
        </w:rPr>
        <w:t>Мадьярова</w:t>
      </w:r>
      <w:proofErr w:type="spellEnd"/>
      <w:r w:rsidRPr="00FA23DA">
        <w:rPr>
          <w:rFonts w:ascii="Times New Roman" w:hAnsi="Times New Roman" w:cs="Times New Roman"/>
          <w:sz w:val="28"/>
          <w:szCs w:val="28"/>
        </w:rPr>
        <w:t xml:space="preserve"> зазначає, що закріплене у статті 3 Кримінального кодексу України положення повинно тлумачитися так, що </w:t>
      </w:r>
      <w:r w:rsidR="0090172D" w:rsidRPr="00FA23DA">
        <w:rPr>
          <w:rFonts w:ascii="Times New Roman" w:hAnsi="Times New Roman" w:cs="Times New Roman"/>
          <w:sz w:val="28"/>
          <w:szCs w:val="28"/>
        </w:rPr>
        <w:t xml:space="preserve">перше </w:t>
      </w:r>
      <w:r w:rsidRPr="00FA23DA">
        <w:rPr>
          <w:rFonts w:ascii="Times New Roman" w:hAnsi="Times New Roman" w:cs="Times New Roman"/>
          <w:sz w:val="28"/>
          <w:szCs w:val="28"/>
        </w:rPr>
        <w:t>закріплення (криміналізація діяння, закріплення видів та меж покарань, підстав для притягнення та звільнення ві</w:t>
      </w:r>
      <w:r w:rsidR="0090172D" w:rsidRPr="00FA23DA">
        <w:rPr>
          <w:rFonts w:ascii="Times New Roman" w:hAnsi="Times New Roman" w:cs="Times New Roman"/>
          <w:sz w:val="28"/>
          <w:szCs w:val="28"/>
        </w:rPr>
        <w:t xml:space="preserve">д кримінальної відповідальності) має бути здійснене саме у </w:t>
      </w:r>
      <w:r w:rsidR="00C91C44" w:rsidRPr="00FA23DA">
        <w:rPr>
          <w:rFonts w:ascii="Times New Roman" w:hAnsi="Times New Roman" w:cs="Times New Roman"/>
          <w:sz w:val="28"/>
          <w:szCs w:val="28"/>
        </w:rPr>
        <w:t>К</w:t>
      </w:r>
      <w:r w:rsidR="0090172D" w:rsidRPr="00FA23DA">
        <w:rPr>
          <w:rFonts w:ascii="Times New Roman" w:hAnsi="Times New Roman" w:cs="Times New Roman"/>
          <w:sz w:val="28"/>
          <w:szCs w:val="28"/>
        </w:rPr>
        <w:t>одексі.</w:t>
      </w:r>
      <w:r w:rsidR="00BC591D" w:rsidRPr="00FA23DA">
        <w:rPr>
          <w:rFonts w:ascii="Times New Roman" w:hAnsi="Times New Roman" w:cs="Times New Roman"/>
          <w:sz w:val="28"/>
          <w:szCs w:val="28"/>
        </w:rPr>
        <w:t xml:space="preserve"> Це є проявом установчої функції Кодексу, коли встановлюються чіткі межі, у яки</w:t>
      </w:r>
      <w:r w:rsidR="005D66A8" w:rsidRPr="00FA23DA">
        <w:rPr>
          <w:rFonts w:ascii="Times New Roman" w:hAnsi="Times New Roman" w:cs="Times New Roman"/>
          <w:sz w:val="28"/>
          <w:szCs w:val="28"/>
        </w:rPr>
        <w:t>х можливий розвиток приписів шля</w:t>
      </w:r>
      <w:r w:rsidR="00BC591D" w:rsidRPr="00FA23DA">
        <w:rPr>
          <w:rFonts w:ascii="Times New Roman" w:hAnsi="Times New Roman" w:cs="Times New Roman"/>
          <w:sz w:val="28"/>
          <w:szCs w:val="28"/>
        </w:rPr>
        <w:t>хом тлумачення.</w:t>
      </w:r>
      <w:r w:rsidR="0061688A" w:rsidRPr="00FA23DA">
        <w:rPr>
          <w:rStyle w:val="FootnoteReference"/>
          <w:rFonts w:ascii="Times New Roman" w:hAnsi="Times New Roman" w:cs="Times New Roman"/>
          <w:sz w:val="28"/>
          <w:szCs w:val="28"/>
        </w:rPr>
        <w:footnoteReference w:id="51"/>
      </w:r>
    </w:p>
    <w:p w14:paraId="40672814" w14:textId="77777777" w:rsidR="00110C81" w:rsidRPr="00FA23DA" w:rsidRDefault="00110C81"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У цьому контексті для порівняння доречно буде звернутися до судової практики США. Однією зі знакових</w:t>
      </w:r>
      <w:r w:rsidR="001B7366" w:rsidRPr="00FA23DA">
        <w:rPr>
          <w:rFonts w:ascii="Times New Roman" w:hAnsi="Times New Roman" w:cs="Times New Roman"/>
          <w:sz w:val="28"/>
          <w:szCs w:val="28"/>
        </w:rPr>
        <w:t xml:space="preserve"> у контексті судової правотворчості та </w:t>
      </w:r>
      <w:r w:rsidR="001B7366" w:rsidRPr="00FA23DA">
        <w:rPr>
          <w:rFonts w:ascii="Times New Roman" w:hAnsi="Times New Roman" w:cs="Times New Roman"/>
          <w:sz w:val="28"/>
          <w:szCs w:val="28"/>
        </w:rPr>
        <w:lastRenderedPageBreak/>
        <w:t>розширеного тлумачення норм кримінального права</w:t>
      </w:r>
      <w:r w:rsidRPr="00FA23DA">
        <w:rPr>
          <w:rFonts w:ascii="Times New Roman" w:hAnsi="Times New Roman" w:cs="Times New Roman"/>
          <w:sz w:val="28"/>
          <w:szCs w:val="28"/>
        </w:rPr>
        <w:t xml:space="preserve"> є справа «Роджерс проти Теннессі». </w:t>
      </w:r>
      <w:r w:rsidR="001B7366" w:rsidRPr="00FA23DA">
        <w:rPr>
          <w:rFonts w:ascii="Times New Roman" w:hAnsi="Times New Roman" w:cs="Times New Roman"/>
          <w:sz w:val="28"/>
          <w:szCs w:val="28"/>
        </w:rPr>
        <w:t>Так, з</w:t>
      </w:r>
      <w:r w:rsidRPr="00FA23DA">
        <w:rPr>
          <w:rFonts w:ascii="Times New Roman" w:hAnsi="Times New Roman" w:cs="Times New Roman"/>
          <w:sz w:val="28"/>
          <w:szCs w:val="28"/>
        </w:rPr>
        <w:t xml:space="preserve">а фабулою справи </w:t>
      </w:r>
      <w:proofErr w:type="spellStart"/>
      <w:r w:rsidRPr="00FA23DA">
        <w:rPr>
          <w:rFonts w:ascii="Times New Roman" w:hAnsi="Times New Roman" w:cs="Times New Roman"/>
          <w:sz w:val="28"/>
          <w:szCs w:val="28"/>
        </w:rPr>
        <w:t>Вілберт</w:t>
      </w:r>
      <w:proofErr w:type="spellEnd"/>
      <w:r w:rsidRPr="00FA23DA">
        <w:rPr>
          <w:rFonts w:ascii="Times New Roman" w:hAnsi="Times New Roman" w:cs="Times New Roman"/>
          <w:sz w:val="28"/>
          <w:szCs w:val="28"/>
        </w:rPr>
        <w:t xml:space="preserve"> Роджерс завдав </w:t>
      </w:r>
      <w:r w:rsidR="001B7366" w:rsidRPr="00FA23DA">
        <w:rPr>
          <w:rFonts w:ascii="Times New Roman" w:hAnsi="Times New Roman" w:cs="Times New Roman"/>
          <w:sz w:val="28"/>
          <w:szCs w:val="28"/>
        </w:rPr>
        <w:t>потерпілому</w:t>
      </w:r>
      <w:r w:rsidRPr="00FA23DA">
        <w:rPr>
          <w:rFonts w:ascii="Times New Roman" w:hAnsi="Times New Roman" w:cs="Times New Roman"/>
          <w:sz w:val="28"/>
          <w:szCs w:val="28"/>
        </w:rPr>
        <w:t xml:space="preserve"> ножового поранення у серце, внаслідок чого у останнього відбулася зупинка серця та настала кома внаслідок гіпоксії головного мозку. За допомогою медичних засобів життя потерпілого підтримували протягом п’ятнадцяти місяців, після чого останній помер. Судово-медичною експертизою було встановлено, що причиною смерті була гіпоксія головного мозку, спричинена ножовим пораненням.</w:t>
      </w:r>
      <w:r w:rsidR="00843D22" w:rsidRPr="00FA23DA">
        <w:rPr>
          <w:rStyle w:val="FootnoteReference"/>
          <w:rFonts w:ascii="Times New Roman" w:hAnsi="Times New Roman" w:cs="Times New Roman"/>
          <w:sz w:val="28"/>
          <w:szCs w:val="28"/>
        </w:rPr>
        <w:footnoteReference w:id="52"/>
      </w:r>
    </w:p>
    <w:p w14:paraId="507951D2" w14:textId="77777777" w:rsidR="00110C81" w:rsidRPr="00FA23DA" w:rsidRDefault="00110C81"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На момент зазначених подій у США існувало правило «одного року та одного дня», відповідно до якого смерть особи не могла вважатися вбивством, який вона настала пізніше ніж через один рік за один день після дії (або бездіяльності), яка нібито її спричинила.</w:t>
      </w:r>
    </w:p>
    <w:p w14:paraId="5944B4DD" w14:textId="77777777" w:rsidR="00110C81" w:rsidRPr="00FA23DA" w:rsidRDefault="00110C81"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Суд штату Теннессі виніс вирок, за яким Роджерса було визнано винним у вбивстві на підставі закону штату Теннессі, який не включає правило «одного року та одного дня». У свою чергу Роджерс подав скаргу до Апеляційного суду штату Теннессі, вказуючи на те, що зазначене правило у будь-якому випадку залишається частиною загального права штату. Апеляційний суд у свою чергу відмовив у задоволенні скарги, і розгляд справи перейняв Верховний суд США.</w:t>
      </w:r>
      <w:r w:rsidR="00843D22" w:rsidRPr="00FA23DA">
        <w:rPr>
          <w:rStyle w:val="FootnoteReference"/>
          <w:rFonts w:ascii="Times New Roman" w:hAnsi="Times New Roman" w:cs="Times New Roman"/>
          <w:sz w:val="28"/>
          <w:szCs w:val="28"/>
        </w:rPr>
        <w:footnoteReference w:id="53"/>
      </w:r>
    </w:p>
    <w:p w14:paraId="3BDB5861" w14:textId="77777777" w:rsidR="00110C81" w:rsidRPr="00FA23DA" w:rsidRDefault="00110C81"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Здійснюючи розгляд справи, Верховний суд США зазначив, що заявник, спираючись на заборону зворотної дії нормативно-правового </w:t>
      </w:r>
      <w:proofErr w:type="spellStart"/>
      <w:r w:rsidRPr="00FA23DA">
        <w:rPr>
          <w:rFonts w:ascii="Times New Roman" w:hAnsi="Times New Roman" w:cs="Times New Roman"/>
          <w:sz w:val="28"/>
          <w:szCs w:val="28"/>
        </w:rPr>
        <w:t>акта</w:t>
      </w:r>
      <w:proofErr w:type="spellEnd"/>
      <w:r w:rsidRPr="00FA23DA">
        <w:rPr>
          <w:rFonts w:ascii="Times New Roman" w:hAnsi="Times New Roman" w:cs="Times New Roman"/>
          <w:sz w:val="28"/>
          <w:szCs w:val="28"/>
        </w:rPr>
        <w:t xml:space="preserve"> у часі, здійснював занадто широке тлумачення цього правила. У свою чергу, така заборона прямо стосується законодавчих органів, оскільки в іншому випадку це б свідчило про недостатню увагу до інституційних та контекстуальних відмінностей між законодавчим процесом та процесом прийняття рішень у загальному праві, а також негативно впливало на вирішення </w:t>
      </w:r>
      <w:proofErr w:type="spellStart"/>
      <w:r w:rsidRPr="00FA23DA">
        <w:rPr>
          <w:rFonts w:ascii="Times New Roman" w:hAnsi="Times New Roman" w:cs="Times New Roman"/>
          <w:sz w:val="28"/>
          <w:szCs w:val="28"/>
        </w:rPr>
        <w:t>невизначеностей</w:t>
      </w:r>
      <w:proofErr w:type="spellEnd"/>
      <w:r w:rsidRPr="00FA23DA">
        <w:rPr>
          <w:rFonts w:ascii="Times New Roman" w:hAnsi="Times New Roman" w:cs="Times New Roman"/>
          <w:sz w:val="28"/>
          <w:szCs w:val="28"/>
        </w:rPr>
        <w:t xml:space="preserve"> у законодавстві та розвитку прецедентів.</w:t>
      </w:r>
      <w:r w:rsidR="00843D22" w:rsidRPr="00FA23DA">
        <w:rPr>
          <w:rStyle w:val="FootnoteReference"/>
          <w:rFonts w:ascii="Times New Roman" w:hAnsi="Times New Roman" w:cs="Times New Roman"/>
          <w:sz w:val="28"/>
          <w:szCs w:val="28"/>
        </w:rPr>
        <w:footnoteReference w:id="54"/>
      </w:r>
    </w:p>
    <w:p w14:paraId="68DA4FC3" w14:textId="77777777" w:rsidR="00110C81" w:rsidRPr="00FA23DA" w:rsidRDefault="00110C81" w:rsidP="00FA23DA">
      <w:pPr>
        <w:spacing w:after="0" w:line="360" w:lineRule="auto"/>
        <w:ind w:firstLine="709"/>
        <w:jc w:val="both"/>
        <w:rPr>
          <w:rFonts w:ascii="Times New Roman" w:hAnsi="Times New Roman" w:cs="Times New Roman"/>
          <w:sz w:val="28"/>
          <w:szCs w:val="28"/>
          <w:lang w:val="ru-RU"/>
        </w:rPr>
      </w:pPr>
      <w:r w:rsidRPr="00FA23DA">
        <w:rPr>
          <w:rFonts w:ascii="Times New Roman" w:hAnsi="Times New Roman" w:cs="Times New Roman"/>
          <w:sz w:val="28"/>
          <w:szCs w:val="28"/>
        </w:rPr>
        <w:lastRenderedPageBreak/>
        <w:t>Як зазначив Верховний суд США, скасування судом штату Теннессі правила «одного року та одного дня» не було несподіваним та невиправданим, адже розвиток медицини та суміжних наук свідчить про його очевидну застарілість, що у свою чергу зумовило скасування цього правила на законодавчому та судовому рівні у багатьох штатах. Таким чином, факт скасування такого правила поза межами Теннессі свідчить про те, що таке рішення не було несподіваним чи невиправданим. Також Верховний суд США спирався на те, що на момент вчинення злочину правило «одного року та одного дня» мало слабкі позиції у кримінальному праві штату Теннессі, адже не існувало як частина кримінального кодексу штату та використовувалося судом лише кілька разів.</w:t>
      </w:r>
      <w:r w:rsidR="00843D22" w:rsidRPr="00FA23DA">
        <w:rPr>
          <w:rStyle w:val="FootnoteReference"/>
          <w:rFonts w:ascii="Times New Roman" w:hAnsi="Times New Roman" w:cs="Times New Roman"/>
          <w:sz w:val="28"/>
          <w:szCs w:val="28"/>
        </w:rPr>
        <w:footnoteReference w:id="55"/>
      </w:r>
    </w:p>
    <w:p w14:paraId="1A32D378" w14:textId="77777777" w:rsidR="00110C81" w:rsidRPr="00FA23DA" w:rsidRDefault="00110C81"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З такими висновками Верховного суду США не погоджувалася частина суддів, які виклали свою позицію в окремій думці. Звернемося до окремої думки судді Антоніна </w:t>
      </w:r>
      <w:proofErr w:type="spellStart"/>
      <w:r w:rsidRPr="00FA23DA">
        <w:rPr>
          <w:rFonts w:ascii="Times New Roman" w:hAnsi="Times New Roman" w:cs="Times New Roman"/>
          <w:sz w:val="28"/>
          <w:szCs w:val="28"/>
        </w:rPr>
        <w:t>Скалії</w:t>
      </w:r>
      <w:proofErr w:type="spellEnd"/>
      <w:r w:rsidRPr="00FA23DA">
        <w:rPr>
          <w:rFonts w:ascii="Times New Roman" w:hAnsi="Times New Roman" w:cs="Times New Roman"/>
          <w:sz w:val="28"/>
          <w:szCs w:val="28"/>
        </w:rPr>
        <w:t>, який абсолютно не погоджувався із застосованим у справі підходом.</w:t>
      </w:r>
    </w:p>
    <w:p w14:paraId="2AE75E17" w14:textId="77777777" w:rsidR="00110C81" w:rsidRPr="00FA23DA" w:rsidRDefault="00110C81"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Так, А. </w:t>
      </w:r>
      <w:proofErr w:type="spellStart"/>
      <w:r w:rsidRPr="00FA23DA">
        <w:rPr>
          <w:rFonts w:ascii="Times New Roman" w:hAnsi="Times New Roman" w:cs="Times New Roman"/>
          <w:sz w:val="28"/>
          <w:szCs w:val="28"/>
        </w:rPr>
        <w:t>Скалія</w:t>
      </w:r>
      <w:proofErr w:type="spellEnd"/>
      <w:r w:rsidRPr="00FA23DA">
        <w:rPr>
          <w:rFonts w:ascii="Times New Roman" w:hAnsi="Times New Roman" w:cs="Times New Roman"/>
          <w:sz w:val="28"/>
          <w:szCs w:val="28"/>
        </w:rPr>
        <w:t xml:space="preserve"> зазначив, що своїм рішенням Верховний суд США порушив принцип </w:t>
      </w:r>
      <w:proofErr w:type="spellStart"/>
      <w:r w:rsidRPr="00FA23DA">
        <w:rPr>
          <w:rFonts w:ascii="Times New Roman" w:hAnsi="Times New Roman" w:cs="Times New Roman"/>
          <w:sz w:val="28"/>
          <w:szCs w:val="28"/>
          <w:lang w:val="en-US"/>
        </w:rPr>
        <w:t>nulla</w:t>
      </w:r>
      <w:proofErr w:type="spellEnd"/>
      <w:r w:rsidRPr="00FA23DA">
        <w:rPr>
          <w:rFonts w:ascii="Times New Roman" w:hAnsi="Times New Roman" w:cs="Times New Roman"/>
          <w:sz w:val="28"/>
          <w:szCs w:val="28"/>
        </w:rPr>
        <w:t xml:space="preserve"> </w:t>
      </w:r>
      <w:proofErr w:type="spellStart"/>
      <w:r w:rsidRPr="00FA23DA">
        <w:rPr>
          <w:rFonts w:ascii="Times New Roman" w:hAnsi="Times New Roman" w:cs="Times New Roman"/>
          <w:sz w:val="28"/>
          <w:szCs w:val="28"/>
          <w:lang w:val="en-US"/>
        </w:rPr>
        <w:t>poena</w:t>
      </w:r>
      <w:proofErr w:type="spellEnd"/>
      <w:r w:rsidRPr="00FA23DA">
        <w:rPr>
          <w:rFonts w:ascii="Times New Roman" w:hAnsi="Times New Roman" w:cs="Times New Roman"/>
          <w:sz w:val="28"/>
          <w:szCs w:val="28"/>
        </w:rPr>
        <w:t xml:space="preserve"> </w:t>
      </w:r>
      <w:r w:rsidRPr="00FA23DA">
        <w:rPr>
          <w:rFonts w:ascii="Times New Roman" w:hAnsi="Times New Roman" w:cs="Times New Roman"/>
          <w:sz w:val="28"/>
          <w:szCs w:val="28"/>
          <w:lang w:val="en-US"/>
        </w:rPr>
        <w:t>sine</w:t>
      </w:r>
      <w:r w:rsidRPr="00FA23DA">
        <w:rPr>
          <w:rFonts w:ascii="Times New Roman" w:hAnsi="Times New Roman" w:cs="Times New Roman"/>
          <w:sz w:val="28"/>
          <w:szCs w:val="28"/>
        </w:rPr>
        <w:t xml:space="preserve"> </w:t>
      </w:r>
      <w:proofErr w:type="spellStart"/>
      <w:r w:rsidRPr="00FA23DA">
        <w:rPr>
          <w:rFonts w:ascii="Times New Roman" w:hAnsi="Times New Roman" w:cs="Times New Roman"/>
          <w:sz w:val="28"/>
          <w:szCs w:val="28"/>
          <w:lang w:val="en-US"/>
        </w:rPr>
        <w:t>lege</w:t>
      </w:r>
      <w:proofErr w:type="spellEnd"/>
      <w:r w:rsidRPr="00FA23DA">
        <w:rPr>
          <w:rFonts w:ascii="Times New Roman" w:hAnsi="Times New Roman" w:cs="Times New Roman"/>
          <w:sz w:val="28"/>
          <w:szCs w:val="28"/>
        </w:rPr>
        <w:t xml:space="preserve">, який «походить від стародавніх греків» і є одним з найбільш «широко розповсюджених ціннісних суджень за всю історію людської думки». Він акцентував увагу на тому, що, виходячи з рішення, склалася така ситуація, у якій обрані представники всього народу не можуть </w:t>
      </w:r>
      <w:proofErr w:type="spellStart"/>
      <w:r w:rsidRPr="00FA23DA">
        <w:rPr>
          <w:rFonts w:ascii="Times New Roman" w:hAnsi="Times New Roman" w:cs="Times New Roman"/>
          <w:sz w:val="28"/>
          <w:szCs w:val="28"/>
        </w:rPr>
        <w:t>криміналізувати</w:t>
      </w:r>
      <w:proofErr w:type="spellEnd"/>
      <w:r w:rsidRPr="00FA23DA">
        <w:rPr>
          <w:rFonts w:ascii="Times New Roman" w:hAnsi="Times New Roman" w:cs="Times New Roman"/>
          <w:sz w:val="28"/>
          <w:szCs w:val="28"/>
        </w:rPr>
        <w:t xml:space="preserve"> діяння, коли воно уже було скоєно, однак, невибрані судді наділені такими повноваженнями. На думку А. </w:t>
      </w:r>
      <w:proofErr w:type="spellStart"/>
      <w:r w:rsidRPr="00FA23DA">
        <w:rPr>
          <w:rFonts w:ascii="Times New Roman" w:hAnsi="Times New Roman" w:cs="Times New Roman"/>
          <w:sz w:val="28"/>
          <w:szCs w:val="28"/>
        </w:rPr>
        <w:t>Скалії</w:t>
      </w:r>
      <w:proofErr w:type="spellEnd"/>
      <w:r w:rsidRPr="00FA23DA">
        <w:rPr>
          <w:rFonts w:ascii="Times New Roman" w:hAnsi="Times New Roman" w:cs="Times New Roman"/>
          <w:sz w:val="28"/>
          <w:szCs w:val="28"/>
        </w:rPr>
        <w:t xml:space="preserve">, творці Основного закону не вкладали у нього такого змісту. Як він зазначає, творці Конституції очевидно розглядали б таку зміну закону як справу саме законодавчого органу, що знаходиться поза компетенцією суду. І саме тому </w:t>
      </w:r>
      <w:r w:rsidR="001B7366" w:rsidRPr="00FA23DA">
        <w:rPr>
          <w:rFonts w:ascii="Times New Roman" w:hAnsi="Times New Roman" w:cs="Times New Roman"/>
          <w:sz w:val="28"/>
          <w:szCs w:val="28"/>
        </w:rPr>
        <w:t>Конституція містить обмеження у частині прийняття законів зі зворотною дією у часі ли</w:t>
      </w:r>
      <w:r w:rsidRPr="00FA23DA">
        <w:rPr>
          <w:rFonts w:ascii="Times New Roman" w:hAnsi="Times New Roman" w:cs="Times New Roman"/>
          <w:sz w:val="28"/>
          <w:szCs w:val="28"/>
        </w:rPr>
        <w:t>ше для законодавчого органу.</w:t>
      </w:r>
      <w:r w:rsidR="00843D22" w:rsidRPr="00FA23DA">
        <w:rPr>
          <w:rStyle w:val="FootnoteReference"/>
          <w:rFonts w:ascii="Times New Roman" w:hAnsi="Times New Roman" w:cs="Times New Roman"/>
          <w:sz w:val="28"/>
          <w:szCs w:val="28"/>
        </w:rPr>
        <w:footnoteReference w:id="56"/>
      </w:r>
    </w:p>
    <w:p w14:paraId="09115460" w14:textId="77777777" w:rsidR="00110C81" w:rsidRPr="00FA23DA" w:rsidRDefault="00110C81"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lastRenderedPageBreak/>
        <w:t xml:space="preserve">Водночас А. </w:t>
      </w:r>
      <w:proofErr w:type="spellStart"/>
      <w:r w:rsidRPr="00FA23DA">
        <w:rPr>
          <w:rFonts w:ascii="Times New Roman" w:hAnsi="Times New Roman" w:cs="Times New Roman"/>
          <w:sz w:val="28"/>
          <w:szCs w:val="28"/>
        </w:rPr>
        <w:t>Скалія</w:t>
      </w:r>
      <w:proofErr w:type="spellEnd"/>
      <w:r w:rsidRPr="00FA23DA">
        <w:rPr>
          <w:rFonts w:ascii="Times New Roman" w:hAnsi="Times New Roman" w:cs="Times New Roman"/>
          <w:sz w:val="28"/>
          <w:szCs w:val="28"/>
        </w:rPr>
        <w:t xml:space="preserve"> не погоджувався з висновком, що Роджерс був попереджений про застарілість правила «одного року та одного дня». Так, на його переконання, Роджерс міг знати, що таке правило застаріло, однак, він не міг знати, що це правило перестало існувати, адже с</w:t>
      </w:r>
      <w:r w:rsidR="001B7366" w:rsidRPr="00FA23DA">
        <w:rPr>
          <w:rFonts w:ascii="Times New Roman" w:hAnsi="Times New Roman" w:cs="Times New Roman"/>
          <w:sz w:val="28"/>
          <w:szCs w:val="28"/>
        </w:rPr>
        <w:t>уд або законодавець не повідомили</w:t>
      </w:r>
      <w:r w:rsidRPr="00FA23DA">
        <w:rPr>
          <w:rFonts w:ascii="Times New Roman" w:hAnsi="Times New Roman" w:cs="Times New Roman"/>
          <w:sz w:val="28"/>
          <w:szCs w:val="28"/>
        </w:rPr>
        <w:t xml:space="preserve"> йому про це. Таким чином, </w:t>
      </w:r>
      <w:proofErr w:type="spellStart"/>
      <w:r w:rsidRPr="00FA23DA">
        <w:rPr>
          <w:rFonts w:ascii="Times New Roman" w:hAnsi="Times New Roman" w:cs="Times New Roman"/>
          <w:sz w:val="28"/>
          <w:szCs w:val="28"/>
        </w:rPr>
        <w:t>Скалія</w:t>
      </w:r>
      <w:proofErr w:type="spellEnd"/>
      <w:r w:rsidRPr="00FA23DA">
        <w:rPr>
          <w:rFonts w:ascii="Times New Roman" w:hAnsi="Times New Roman" w:cs="Times New Roman"/>
          <w:sz w:val="28"/>
          <w:szCs w:val="28"/>
        </w:rPr>
        <w:t xml:space="preserve"> дійшов висновку, що без будь-якого справедливого попередження, засудження Роджерса за вбивство є недійсним.</w:t>
      </w:r>
      <w:r w:rsidR="00843D22" w:rsidRPr="00FA23DA">
        <w:rPr>
          <w:rStyle w:val="FootnoteReference"/>
          <w:rFonts w:ascii="Times New Roman" w:hAnsi="Times New Roman" w:cs="Times New Roman"/>
          <w:sz w:val="28"/>
          <w:szCs w:val="28"/>
        </w:rPr>
        <w:footnoteReference w:id="57"/>
      </w:r>
    </w:p>
    <w:p w14:paraId="78DEAD4E" w14:textId="77777777" w:rsidR="00110C81" w:rsidRPr="00FA23DA" w:rsidRDefault="009373AD"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Отже, на прикладі різної </w:t>
      </w:r>
      <w:r w:rsidR="000579A5" w:rsidRPr="00FA23DA">
        <w:rPr>
          <w:rFonts w:ascii="Times New Roman" w:hAnsi="Times New Roman" w:cs="Times New Roman"/>
          <w:sz w:val="28"/>
          <w:szCs w:val="28"/>
        </w:rPr>
        <w:t>судової практики, а також</w:t>
      </w:r>
      <w:r w:rsidRPr="00FA23DA">
        <w:rPr>
          <w:rFonts w:ascii="Times New Roman" w:hAnsi="Times New Roman" w:cs="Times New Roman"/>
          <w:sz w:val="28"/>
          <w:szCs w:val="28"/>
        </w:rPr>
        <w:t xml:space="preserve"> кардинально різних поглядів суддів навіть під час розгляду конкретної справи, можемо простежити настільки складно провести чітку межу при здійсненні тлумачення правових норм. У такій ситуації вбачається неможливим вироблення </w:t>
      </w:r>
      <w:r w:rsidR="000579A5" w:rsidRPr="00FA23DA">
        <w:rPr>
          <w:rFonts w:ascii="Times New Roman" w:hAnsi="Times New Roman" w:cs="Times New Roman"/>
          <w:sz w:val="28"/>
          <w:szCs w:val="28"/>
        </w:rPr>
        <w:t xml:space="preserve">універсальних правил, які можна було б застосовувати у кожному випадку. З огляду на це, прийняття остаточного рішення вимагає від суду </w:t>
      </w:r>
      <w:r w:rsidR="00D31262" w:rsidRPr="00FA23DA">
        <w:rPr>
          <w:rFonts w:ascii="Times New Roman" w:hAnsi="Times New Roman" w:cs="Times New Roman"/>
          <w:sz w:val="28"/>
          <w:szCs w:val="28"/>
        </w:rPr>
        <w:t>здійснення глибокої інтелектуальної діяльності</w:t>
      </w:r>
      <w:r w:rsidR="000579A5" w:rsidRPr="00FA23DA">
        <w:rPr>
          <w:rFonts w:ascii="Times New Roman" w:hAnsi="Times New Roman" w:cs="Times New Roman"/>
          <w:sz w:val="28"/>
          <w:szCs w:val="28"/>
        </w:rPr>
        <w:t xml:space="preserve"> для з’ясування </w:t>
      </w:r>
      <w:r w:rsidR="008A140F" w:rsidRPr="00FA23DA">
        <w:rPr>
          <w:rFonts w:ascii="Times New Roman" w:hAnsi="Times New Roman" w:cs="Times New Roman"/>
          <w:sz w:val="28"/>
          <w:szCs w:val="28"/>
        </w:rPr>
        <w:t>усіх деталей та обставин, оцінки</w:t>
      </w:r>
      <w:r w:rsidR="000579A5" w:rsidRPr="00FA23DA">
        <w:rPr>
          <w:rFonts w:ascii="Times New Roman" w:hAnsi="Times New Roman" w:cs="Times New Roman"/>
          <w:sz w:val="28"/>
          <w:szCs w:val="28"/>
        </w:rPr>
        <w:t xml:space="preserve"> впливу рішення на фундаментальні права особи </w:t>
      </w:r>
      <w:r w:rsidR="008A140F" w:rsidRPr="00FA23DA">
        <w:rPr>
          <w:rFonts w:ascii="Times New Roman" w:hAnsi="Times New Roman" w:cs="Times New Roman"/>
          <w:sz w:val="28"/>
          <w:szCs w:val="28"/>
        </w:rPr>
        <w:t>на противагу</w:t>
      </w:r>
      <w:r w:rsidR="000579A5" w:rsidRPr="00FA23DA">
        <w:rPr>
          <w:rFonts w:ascii="Times New Roman" w:hAnsi="Times New Roman" w:cs="Times New Roman"/>
          <w:sz w:val="28"/>
          <w:szCs w:val="28"/>
        </w:rPr>
        <w:t xml:space="preserve"> захисту суспільних цінностей.</w:t>
      </w:r>
    </w:p>
    <w:p w14:paraId="11AB7FA7" w14:textId="77777777" w:rsidR="00865C99" w:rsidRPr="00FA23DA" w:rsidRDefault="00865C99"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Продовжуючи розгляд судової практики, звернемося до ще однієї показової справи, яку розглядав ЄСПЛ – «</w:t>
      </w:r>
      <w:proofErr w:type="spellStart"/>
      <w:r w:rsidRPr="00FA23DA">
        <w:rPr>
          <w:rFonts w:ascii="Times New Roman" w:hAnsi="Times New Roman" w:cs="Times New Roman"/>
          <w:sz w:val="28"/>
          <w:szCs w:val="28"/>
        </w:rPr>
        <w:t>Штрелец</w:t>
      </w:r>
      <w:proofErr w:type="spellEnd"/>
      <w:r w:rsidRPr="00FA23DA">
        <w:rPr>
          <w:rFonts w:ascii="Times New Roman" w:hAnsi="Times New Roman" w:cs="Times New Roman"/>
          <w:sz w:val="28"/>
          <w:szCs w:val="28"/>
        </w:rPr>
        <w:t xml:space="preserve">, </w:t>
      </w:r>
      <w:proofErr w:type="spellStart"/>
      <w:r w:rsidRPr="00FA23DA">
        <w:rPr>
          <w:rFonts w:ascii="Times New Roman" w:hAnsi="Times New Roman" w:cs="Times New Roman"/>
          <w:sz w:val="28"/>
          <w:szCs w:val="28"/>
        </w:rPr>
        <w:t>Кесслер</w:t>
      </w:r>
      <w:proofErr w:type="spellEnd"/>
      <w:r w:rsidRPr="00FA23DA">
        <w:rPr>
          <w:rFonts w:ascii="Times New Roman" w:hAnsi="Times New Roman" w:cs="Times New Roman"/>
          <w:sz w:val="28"/>
          <w:szCs w:val="28"/>
        </w:rPr>
        <w:t xml:space="preserve"> і </w:t>
      </w:r>
      <w:proofErr w:type="spellStart"/>
      <w:r w:rsidRPr="00FA23DA">
        <w:rPr>
          <w:rFonts w:ascii="Times New Roman" w:hAnsi="Times New Roman" w:cs="Times New Roman"/>
          <w:sz w:val="28"/>
          <w:szCs w:val="28"/>
        </w:rPr>
        <w:t>Кренц</w:t>
      </w:r>
      <w:proofErr w:type="spellEnd"/>
      <w:r w:rsidRPr="00FA23DA">
        <w:rPr>
          <w:rFonts w:ascii="Times New Roman" w:hAnsi="Times New Roman" w:cs="Times New Roman"/>
          <w:sz w:val="28"/>
          <w:szCs w:val="28"/>
        </w:rPr>
        <w:t xml:space="preserve"> проти Німеччини». </w:t>
      </w:r>
      <w:proofErr w:type="spellStart"/>
      <w:r w:rsidRPr="00FA23DA">
        <w:rPr>
          <w:rFonts w:ascii="Times New Roman" w:hAnsi="Times New Roman" w:cs="Times New Roman"/>
          <w:sz w:val="28"/>
          <w:szCs w:val="28"/>
        </w:rPr>
        <w:t>Штрелец</w:t>
      </w:r>
      <w:proofErr w:type="spellEnd"/>
      <w:r w:rsidRPr="00FA23DA">
        <w:rPr>
          <w:rFonts w:ascii="Times New Roman" w:hAnsi="Times New Roman" w:cs="Times New Roman"/>
          <w:sz w:val="28"/>
          <w:szCs w:val="28"/>
        </w:rPr>
        <w:t xml:space="preserve">, </w:t>
      </w:r>
      <w:proofErr w:type="spellStart"/>
      <w:r w:rsidRPr="00FA23DA">
        <w:rPr>
          <w:rFonts w:ascii="Times New Roman" w:hAnsi="Times New Roman" w:cs="Times New Roman"/>
          <w:sz w:val="28"/>
          <w:szCs w:val="28"/>
        </w:rPr>
        <w:t>Кесслер</w:t>
      </w:r>
      <w:proofErr w:type="spellEnd"/>
      <w:r w:rsidRPr="00FA23DA">
        <w:rPr>
          <w:rFonts w:ascii="Times New Roman" w:hAnsi="Times New Roman" w:cs="Times New Roman"/>
          <w:sz w:val="28"/>
          <w:szCs w:val="28"/>
        </w:rPr>
        <w:t xml:space="preserve"> і </w:t>
      </w:r>
      <w:proofErr w:type="spellStart"/>
      <w:r w:rsidRPr="00FA23DA">
        <w:rPr>
          <w:rFonts w:ascii="Times New Roman" w:hAnsi="Times New Roman" w:cs="Times New Roman"/>
          <w:sz w:val="28"/>
          <w:szCs w:val="28"/>
        </w:rPr>
        <w:t>Кренц</w:t>
      </w:r>
      <w:proofErr w:type="spellEnd"/>
      <w:r w:rsidRPr="00FA23DA">
        <w:rPr>
          <w:rFonts w:ascii="Times New Roman" w:hAnsi="Times New Roman" w:cs="Times New Roman"/>
          <w:sz w:val="28"/>
          <w:szCs w:val="28"/>
        </w:rPr>
        <w:t xml:space="preserve"> були високопосадовцями НДР, за сприяння яких у період з 1971 до 1989 року було вбито ряд людей, які намагалися втекти до ФРН. Їх </w:t>
      </w:r>
      <w:r w:rsidR="00C10CB6" w:rsidRPr="00FA23DA">
        <w:rPr>
          <w:rFonts w:ascii="Times New Roman" w:hAnsi="Times New Roman" w:cs="Times New Roman"/>
          <w:sz w:val="28"/>
          <w:szCs w:val="28"/>
        </w:rPr>
        <w:t>утрьох</w:t>
      </w:r>
      <w:r w:rsidRPr="00FA23DA">
        <w:rPr>
          <w:rFonts w:ascii="Times New Roman" w:hAnsi="Times New Roman" w:cs="Times New Roman"/>
          <w:sz w:val="28"/>
          <w:szCs w:val="28"/>
        </w:rPr>
        <w:t xml:space="preserve"> було </w:t>
      </w:r>
      <w:proofErr w:type="spellStart"/>
      <w:r w:rsidRPr="00FA23DA">
        <w:rPr>
          <w:rFonts w:ascii="Times New Roman" w:hAnsi="Times New Roman" w:cs="Times New Roman"/>
          <w:sz w:val="28"/>
          <w:szCs w:val="28"/>
        </w:rPr>
        <w:t>звинувачено</w:t>
      </w:r>
      <w:proofErr w:type="spellEnd"/>
      <w:r w:rsidRPr="00FA23DA">
        <w:rPr>
          <w:rFonts w:ascii="Times New Roman" w:hAnsi="Times New Roman" w:cs="Times New Roman"/>
          <w:sz w:val="28"/>
          <w:szCs w:val="28"/>
        </w:rPr>
        <w:t xml:space="preserve"> в умисному вбивстві, як непрямих виконавців.</w:t>
      </w:r>
      <w:r w:rsidR="002371A4" w:rsidRPr="00FA23DA">
        <w:rPr>
          <w:rStyle w:val="FootnoteReference"/>
          <w:rFonts w:ascii="Times New Roman" w:hAnsi="Times New Roman" w:cs="Times New Roman"/>
          <w:sz w:val="28"/>
          <w:szCs w:val="28"/>
        </w:rPr>
        <w:footnoteReference w:id="58"/>
      </w:r>
    </w:p>
    <w:p w14:paraId="7B4CD5F3" w14:textId="77777777" w:rsidR="00865C99" w:rsidRPr="00FA23DA" w:rsidRDefault="00865C99"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Берлінський регіональний суд, який першим розглядав ці справи, постановив, що положення законодавства НДР, які існували на момент вчинення дій не можуть використовуватися, як підстава для виправдання вбивства 257 людей. Суд зазначив, що такі дії «грубо й нестерпно порушували елементарні принципи справедливості та прав людини, захищені міжнародним правом», а </w:t>
      </w:r>
      <w:r w:rsidRPr="00FA23DA">
        <w:rPr>
          <w:rFonts w:ascii="Times New Roman" w:hAnsi="Times New Roman" w:cs="Times New Roman"/>
          <w:sz w:val="28"/>
          <w:szCs w:val="28"/>
        </w:rPr>
        <w:lastRenderedPageBreak/>
        <w:t>тому навіть для рядових солдатів мало бути очевидним порушення обов’язку людства при вчиненні таких дій.</w:t>
      </w:r>
      <w:r w:rsidR="002371A4" w:rsidRPr="00FA23DA">
        <w:rPr>
          <w:rStyle w:val="FootnoteReference"/>
          <w:rFonts w:ascii="Times New Roman" w:hAnsi="Times New Roman" w:cs="Times New Roman"/>
          <w:sz w:val="28"/>
          <w:szCs w:val="28"/>
        </w:rPr>
        <w:footnoteReference w:id="59"/>
      </w:r>
    </w:p>
    <w:p w14:paraId="4DB8B287" w14:textId="77777777" w:rsidR="00865C99" w:rsidRPr="00FA23DA" w:rsidRDefault="00865C99"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Рішення регіонального суду були підтримані і Федеральним судом, який зазначив про неприпустимість виправдання дій шляхом посилання на норми, які суперечать правилам, що лежать в основі міжнародних документів з прав людини. Суд наголосив на необхідності тлумачити усі норми у першу чергу крізь призму прав людини. Вбивство людей є жахливими діями, які не можуть бути виправдані ні писаним правом, ні державною практикою.</w:t>
      </w:r>
      <w:r w:rsidR="002371A4" w:rsidRPr="00FA23DA">
        <w:rPr>
          <w:rStyle w:val="FootnoteReference"/>
          <w:rFonts w:ascii="Times New Roman" w:hAnsi="Times New Roman" w:cs="Times New Roman"/>
          <w:sz w:val="28"/>
          <w:szCs w:val="28"/>
        </w:rPr>
        <w:footnoteReference w:id="60"/>
      </w:r>
    </w:p>
    <w:p w14:paraId="41A5CA92" w14:textId="77777777" w:rsidR="00865C99" w:rsidRPr="00FA23DA" w:rsidRDefault="00865C99"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Німецькі суди зверталися до формули </w:t>
      </w:r>
      <w:proofErr w:type="spellStart"/>
      <w:r w:rsidRPr="00FA23DA">
        <w:rPr>
          <w:rFonts w:ascii="Times New Roman" w:hAnsi="Times New Roman" w:cs="Times New Roman"/>
          <w:sz w:val="28"/>
          <w:szCs w:val="28"/>
        </w:rPr>
        <w:t>Радбруха</w:t>
      </w:r>
      <w:proofErr w:type="spellEnd"/>
      <w:r w:rsidRPr="00FA23DA">
        <w:rPr>
          <w:rFonts w:ascii="Times New Roman" w:hAnsi="Times New Roman" w:cs="Times New Roman"/>
          <w:sz w:val="28"/>
          <w:szCs w:val="28"/>
        </w:rPr>
        <w:t>:</w:t>
      </w:r>
    </w:p>
    <w:p w14:paraId="1059219A" w14:textId="77777777" w:rsidR="00865C99" w:rsidRPr="00FA23DA" w:rsidRDefault="00865C99"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«Конфлікт між справедливістю та юридичною визначеністю можна розв’язати таким чином, що позитивне право, встановлене постановою та владою, має перевагу, навіть якщо його зміст є несправедливим і неналежним, якщо тільки протиріччя між позитивним правом і справедливістю не досягне такого нестерпного рівня, що статут, як «неправильне право», повинен поступатися справедливості».</w:t>
      </w:r>
      <w:r w:rsidR="002371A4" w:rsidRPr="00FA23DA">
        <w:rPr>
          <w:rStyle w:val="FootnoteReference"/>
          <w:rFonts w:ascii="Times New Roman" w:hAnsi="Times New Roman" w:cs="Times New Roman"/>
          <w:sz w:val="28"/>
          <w:szCs w:val="28"/>
        </w:rPr>
        <w:footnoteReference w:id="61"/>
      </w:r>
    </w:p>
    <w:p w14:paraId="466ACD43" w14:textId="77777777" w:rsidR="00865C99" w:rsidRPr="00FA23DA" w:rsidRDefault="00865C99"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Об’єднані справи розглядалися у порядку апеляції у Федеральному конституційному суді. Суд оцінював справу крізь призму частини другої статті 103 Основного закону Федеративної Республіки Німеччина, де закріплено принцип неможливості покарання за діяння, яке на момент його в</w:t>
      </w:r>
      <w:r w:rsidR="002371A4" w:rsidRPr="00FA23DA">
        <w:rPr>
          <w:rFonts w:ascii="Times New Roman" w:hAnsi="Times New Roman" w:cs="Times New Roman"/>
          <w:sz w:val="28"/>
          <w:szCs w:val="28"/>
        </w:rPr>
        <w:t>чинення не вважалося злочинним.</w:t>
      </w:r>
      <w:r w:rsidR="006F4076" w:rsidRPr="00FA23DA">
        <w:rPr>
          <w:rStyle w:val="FootnoteReference"/>
          <w:rFonts w:ascii="Times New Roman" w:hAnsi="Times New Roman" w:cs="Times New Roman"/>
          <w:sz w:val="28"/>
          <w:szCs w:val="28"/>
        </w:rPr>
        <w:footnoteReference w:id="62"/>
      </w:r>
    </w:p>
    <w:p w14:paraId="0A5165A6" w14:textId="77777777" w:rsidR="00865C99" w:rsidRPr="00FA23DA" w:rsidRDefault="00865C99"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Федеральний конституційний суд підтримав думку інших судів. Відповідно до позиції суду заборона зворотної дії кримінального закону ґрунтується на особливій основі довіри, що закладена у кримінальних законах, які приймаються демократичним органом. Водночас така особлива основа довіри не застосовується, коли у регулюванні кримінальної відповідальності з’являється несправедливість, що безпідставно виключає кримінальну </w:t>
      </w:r>
      <w:r w:rsidRPr="00FA23DA">
        <w:rPr>
          <w:rFonts w:ascii="Times New Roman" w:hAnsi="Times New Roman" w:cs="Times New Roman"/>
          <w:sz w:val="28"/>
          <w:szCs w:val="28"/>
        </w:rPr>
        <w:lastRenderedPageBreak/>
        <w:t>відповідальність за окремі діяння, при цьому стимулюючи їх та ігноруючи загальноприйняті права людини. Як наслідок вчиняється «надзвичайна державна несправедливість», яка може існувати лише до тих пір, доки існує така державна влада.</w:t>
      </w:r>
      <w:r w:rsidR="006F4076" w:rsidRPr="00FA23DA">
        <w:rPr>
          <w:rStyle w:val="FootnoteReference"/>
          <w:rFonts w:ascii="Times New Roman" w:hAnsi="Times New Roman" w:cs="Times New Roman"/>
          <w:sz w:val="28"/>
          <w:szCs w:val="28"/>
        </w:rPr>
        <w:footnoteReference w:id="63"/>
      </w:r>
    </w:p>
    <w:p w14:paraId="6FB550C4" w14:textId="77777777" w:rsidR="00865C99" w:rsidRPr="00FA23DA" w:rsidRDefault="00865C99"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Вимога матеріальної справедливості включає в себе повагу до прав людини, які визнані у міжнародному праві. У ситуації, яка склалася, конституційні принципи ФРН вимагають поступитися захистом довіри, адже у іншому випадку такі принципи будуть підірвані.</w:t>
      </w:r>
      <w:r w:rsidR="006F4076" w:rsidRPr="00FA23DA">
        <w:rPr>
          <w:rStyle w:val="FootnoteReference"/>
          <w:rFonts w:ascii="Times New Roman" w:hAnsi="Times New Roman" w:cs="Times New Roman"/>
          <w:sz w:val="28"/>
          <w:szCs w:val="28"/>
        </w:rPr>
        <w:footnoteReference w:id="64"/>
      </w:r>
    </w:p>
    <w:p w14:paraId="19E869A3" w14:textId="77777777" w:rsidR="00865C99" w:rsidRPr="00FA23DA" w:rsidRDefault="00A157F8" w:rsidP="00FA23DA">
      <w:pPr>
        <w:spacing w:after="0" w:line="360" w:lineRule="auto"/>
        <w:ind w:firstLine="709"/>
        <w:jc w:val="both"/>
        <w:rPr>
          <w:rFonts w:ascii="Times New Roman" w:hAnsi="Times New Roman" w:cs="Times New Roman"/>
          <w:sz w:val="28"/>
          <w:szCs w:val="28"/>
          <w:lang w:val="ru-RU"/>
        </w:rPr>
      </w:pPr>
      <w:r w:rsidRPr="00FA23DA">
        <w:rPr>
          <w:rFonts w:ascii="Times New Roman" w:hAnsi="Times New Roman" w:cs="Times New Roman"/>
          <w:sz w:val="28"/>
          <w:szCs w:val="28"/>
        </w:rPr>
        <w:t>У св</w:t>
      </w:r>
      <w:r w:rsidR="00865C99" w:rsidRPr="00FA23DA">
        <w:rPr>
          <w:rFonts w:ascii="Times New Roman" w:hAnsi="Times New Roman" w:cs="Times New Roman"/>
          <w:sz w:val="28"/>
          <w:szCs w:val="28"/>
        </w:rPr>
        <w:t>ою чергу</w:t>
      </w:r>
      <w:r w:rsidRPr="00FA23DA">
        <w:rPr>
          <w:rFonts w:ascii="Times New Roman" w:hAnsi="Times New Roman" w:cs="Times New Roman"/>
          <w:sz w:val="28"/>
          <w:szCs w:val="28"/>
        </w:rPr>
        <w:t>,</w:t>
      </w:r>
      <w:r w:rsidR="00865C99" w:rsidRPr="00FA23DA">
        <w:rPr>
          <w:rFonts w:ascii="Times New Roman" w:hAnsi="Times New Roman" w:cs="Times New Roman"/>
          <w:sz w:val="28"/>
          <w:szCs w:val="28"/>
        </w:rPr>
        <w:t xml:space="preserve"> ЄСПЛ, розглядаючи справу після німецьких судів, підтримав висловлену ними позицію. Суд зазначив, що мотив держави, який полягав у захисті кордону від біженців, повинен був обмежуват</w:t>
      </w:r>
      <w:r w:rsidR="00E84A21" w:rsidRPr="00FA23DA">
        <w:rPr>
          <w:rFonts w:ascii="Times New Roman" w:hAnsi="Times New Roman" w:cs="Times New Roman"/>
          <w:sz w:val="28"/>
          <w:szCs w:val="28"/>
        </w:rPr>
        <w:t>ися принципами, проголошеними</w:t>
      </w:r>
      <w:r w:rsidR="00865C99" w:rsidRPr="00FA23DA">
        <w:rPr>
          <w:rFonts w:ascii="Times New Roman" w:hAnsi="Times New Roman" w:cs="Times New Roman"/>
          <w:sz w:val="28"/>
          <w:szCs w:val="28"/>
        </w:rPr>
        <w:t xml:space="preserve"> в Конституції та законах НДР. Відповідно до таких принципів, які у тому числі закріплювалися у міжнародному праві, право на життя є найвищою цінністю. У результаті суд дійшов висновку, що на час свого здійснення дії заявників уже самі по собі були правопорушеннями, які були достатньо доступними та передбачуваними.</w:t>
      </w:r>
      <w:r w:rsidR="003E493F" w:rsidRPr="00FA23DA">
        <w:rPr>
          <w:rStyle w:val="FootnoteReference"/>
          <w:rFonts w:ascii="Times New Roman" w:hAnsi="Times New Roman" w:cs="Times New Roman"/>
          <w:sz w:val="28"/>
          <w:szCs w:val="28"/>
        </w:rPr>
        <w:footnoteReference w:id="65"/>
      </w:r>
    </w:p>
    <w:p w14:paraId="04296491" w14:textId="77777777" w:rsidR="00293660" w:rsidRPr="00FA23DA" w:rsidRDefault="007C0E5A"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Практика ЄСПЛ щодо розширеного тлумачення кримінально-правових норм критикується окремими науковцями. Незважаючи на спроби встановлення допустимих меж розширеного тлумачення, підхід ЄСПЛ все ще залишається розмитим та нечітким. Далеко не завжди зрозумілими є такі межі та можливість розширено тлумачити норми кримінального права. Зважаючи на специфіку кримінального права, яка полягає у втручанні у життя людини, яке часто є непоправним, та необхідність дотримання принципу верховенства права, це проблемне питання стає ще гострішим.</w:t>
      </w:r>
      <w:r w:rsidR="0061688A" w:rsidRPr="00FA23DA">
        <w:rPr>
          <w:rStyle w:val="FootnoteReference"/>
          <w:rFonts w:ascii="Times New Roman" w:hAnsi="Times New Roman" w:cs="Times New Roman"/>
          <w:sz w:val="28"/>
          <w:szCs w:val="28"/>
        </w:rPr>
        <w:footnoteReference w:id="66"/>
      </w:r>
    </w:p>
    <w:p w14:paraId="4303B3B1" w14:textId="77777777" w:rsidR="0075305B" w:rsidRPr="00FA23DA" w:rsidRDefault="0075305B"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lastRenderedPageBreak/>
        <w:t xml:space="preserve">Водночас надання суддям такої широкої </w:t>
      </w:r>
      <w:proofErr w:type="spellStart"/>
      <w:r w:rsidRPr="00FA23DA">
        <w:rPr>
          <w:rFonts w:ascii="Times New Roman" w:hAnsi="Times New Roman" w:cs="Times New Roman"/>
          <w:sz w:val="28"/>
          <w:szCs w:val="28"/>
        </w:rPr>
        <w:t>дискреції</w:t>
      </w:r>
      <w:proofErr w:type="spellEnd"/>
      <w:r w:rsidRPr="00FA23DA">
        <w:rPr>
          <w:rFonts w:ascii="Times New Roman" w:hAnsi="Times New Roman" w:cs="Times New Roman"/>
          <w:sz w:val="28"/>
          <w:szCs w:val="28"/>
        </w:rPr>
        <w:t xml:space="preserve"> прямо впливає на зменшення ефективності Конвенції. Надання суддям у національних судах можливості розширено тлумачити кримінально-правові норми порушує роль Конвенції та </w:t>
      </w:r>
      <w:r w:rsidR="00CC0C4E" w:rsidRPr="00FA23DA">
        <w:rPr>
          <w:rFonts w:ascii="Times New Roman" w:hAnsi="Times New Roman" w:cs="Times New Roman"/>
          <w:sz w:val="28"/>
          <w:szCs w:val="28"/>
        </w:rPr>
        <w:t>відносить її на другий план, провокуючи випадки порушення закладених у ній прав людини.</w:t>
      </w:r>
      <w:r w:rsidR="0061688A" w:rsidRPr="00FA23DA">
        <w:rPr>
          <w:rStyle w:val="FootnoteReference"/>
          <w:rFonts w:ascii="Times New Roman" w:hAnsi="Times New Roman" w:cs="Times New Roman"/>
          <w:sz w:val="28"/>
          <w:szCs w:val="28"/>
        </w:rPr>
        <w:footnoteReference w:id="67"/>
      </w:r>
    </w:p>
    <w:p w14:paraId="00115CCE" w14:textId="77777777" w:rsidR="00293660" w:rsidRPr="00FA23DA" w:rsidRDefault="001718DB"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У цьому контексті поширеною є думка, що при тлумаченні кримінального права має застосовувати єдиний підхід, за яким розширене тлума</w:t>
      </w:r>
      <w:r w:rsidR="00E7589D" w:rsidRPr="00FA23DA">
        <w:rPr>
          <w:rFonts w:ascii="Times New Roman" w:hAnsi="Times New Roman" w:cs="Times New Roman"/>
          <w:sz w:val="28"/>
          <w:szCs w:val="28"/>
        </w:rPr>
        <w:t>чення таких норм є недопустимим</w:t>
      </w:r>
      <w:r w:rsidRPr="00FA23DA">
        <w:rPr>
          <w:rFonts w:ascii="Times New Roman" w:hAnsi="Times New Roman" w:cs="Times New Roman"/>
          <w:sz w:val="28"/>
          <w:szCs w:val="28"/>
        </w:rPr>
        <w:t>, якщо його результатом стає погіршення становища особи, яка притягається до кримінальної відповідальності.</w:t>
      </w:r>
      <w:r w:rsidR="0061688A" w:rsidRPr="00FA23DA">
        <w:rPr>
          <w:rStyle w:val="FootnoteReference"/>
          <w:rFonts w:ascii="Times New Roman" w:hAnsi="Times New Roman" w:cs="Times New Roman"/>
          <w:sz w:val="28"/>
          <w:szCs w:val="28"/>
        </w:rPr>
        <w:footnoteReference w:id="68"/>
      </w:r>
    </w:p>
    <w:p w14:paraId="3521F399" w14:textId="77777777" w:rsidR="00293660" w:rsidRPr="00FA23DA" w:rsidRDefault="000B79A4"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Розмірковуючи на тему судового тлумачення, Р. </w:t>
      </w:r>
      <w:proofErr w:type="spellStart"/>
      <w:r w:rsidRPr="00FA23DA">
        <w:rPr>
          <w:rFonts w:ascii="Times New Roman" w:hAnsi="Times New Roman" w:cs="Times New Roman"/>
          <w:sz w:val="28"/>
          <w:szCs w:val="28"/>
        </w:rPr>
        <w:t>Дворкін</w:t>
      </w:r>
      <w:proofErr w:type="spellEnd"/>
      <w:r w:rsidRPr="00FA23DA">
        <w:rPr>
          <w:rFonts w:ascii="Times New Roman" w:hAnsi="Times New Roman" w:cs="Times New Roman"/>
          <w:sz w:val="28"/>
          <w:szCs w:val="28"/>
        </w:rPr>
        <w:t xml:space="preserve"> зазначав, що належне та конструктивне тлумачення може виявити єдину правильну відповідь на майже усі інтерпретаційні суперечки. На його думку, не існує жодних гарантій, що судді на практиці будуть діяти єдино прав</w:t>
      </w:r>
      <w:r w:rsidR="008C10BB" w:rsidRPr="00FA23DA">
        <w:rPr>
          <w:rFonts w:ascii="Times New Roman" w:hAnsi="Times New Roman" w:cs="Times New Roman"/>
          <w:sz w:val="28"/>
          <w:szCs w:val="28"/>
        </w:rPr>
        <w:t>ильно, однак, як він стверджує,</w:t>
      </w:r>
      <w:r w:rsidR="00845A98" w:rsidRPr="00FA23DA">
        <w:rPr>
          <w:rFonts w:ascii="Times New Roman" w:hAnsi="Times New Roman" w:cs="Times New Roman"/>
          <w:sz w:val="28"/>
          <w:szCs w:val="28"/>
        </w:rPr>
        <w:t xml:space="preserve"> судді біль</w:t>
      </w:r>
      <w:r w:rsidR="008C10BB" w:rsidRPr="00FA23DA">
        <w:rPr>
          <w:rFonts w:ascii="Times New Roman" w:hAnsi="Times New Roman" w:cs="Times New Roman"/>
          <w:sz w:val="28"/>
          <w:szCs w:val="28"/>
        </w:rPr>
        <w:t>ш</w:t>
      </w:r>
      <w:r w:rsidR="00845A98" w:rsidRPr="00FA23DA">
        <w:rPr>
          <w:rFonts w:ascii="Times New Roman" w:hAnsi="Times New Roman" w:cs="Times New Roman"/>
          <w:sz w:val="28"/>
          <w:szCs w:val="28"/>
        </w:rPr>
        <w:t xml:space="preserve"> схи</w:t>
      </w:r>
      <w:r w:rsidRPr="00FA23DA">
        <w:rPr>
          <w:rFonts w:ascii="Times New Roman" w:hAnsi="Times New Roman" w:cs="Times New Roman"/>
          <w:sz w:val="28"/>
          <w:szCs w:val="28"/>
        </w:rPr>
        <w:t>льні приймати рішення відповідно до права, якщо вони здійснюють тлумачення, а не машинально застосовують уже наявні у збірнику правил рішення.</w:t>
      </w:r>
      <w:r w:rsidR="002014D1" w:rsidRPr="00FA23DA">
        <w:rPr>
          <w:rStyle w:val="FootnoteReference"/>
          <w:rFonts w:ascii="Times New Roman" w:hAnsi="Times New Roman" w:cs="Times New Roman"/>
          <w:sz w:val="28"/>
          <w:szCs w:val="28"/>
        </w:rPr>
        <w:footnoteReference w:id="69"/>
      </w:r>
    </w:p>
    <w:p w14:paraId="728B073A" w14:textId="77777777" w:rsidR="00845A98" w:rsidRPr="00FA23DA" w:rsidRDefault="00845A98"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Водночас така діяльність суддів може призвести до «заперечення демократії». Відповідно до визначення Р. </w:t>
      </w:r>
      <w:proofErr w:type="spellStart"/>
      <w:r w:rsidRPr="00FA23DA">
        <w:rPr>
          <w:rFonts w:ascii="Times New Roman" w:hAnsi="Times New Roman" w:cs="Times New Roman"/>
          <w:sz w:val="28"/>
          <w:szCs w:val="28"/>
        </w:rPr>
        <w:t>Дворкіна</w:t>
      </w:r>
      <w:proofErr w:type="spellEnd"/>
      <w:r w:rsidRPr="00FA23DA">
        <w:rPr>
          <w:rFonts w:ascii="Times New Roman" w:hAnsi="Times New Roman" w:cs="Times New Roman"/>
          <w:sz w:val="28"/>
          <w:szCs w:val="28"/>
        </w:rPr>
        <w:t xml:space="preserve"> таке заперечення полягає у тому, що регулювання суспільного життя має здійснюватися демократично обраними органами, а не судд</w:t>
      </w:r>
      <w:r w:rsidR="002014D1" w:rsidRPr="00FA23DA">
        <w:rPr>
          <w:rFonts w:ascii="Times New Roman" w:hAnsi="Times New Roman" w:cs="Times New Roman"/>
          <w:sz w:val="28"/>
          <w:szCs w:val="28"/>
        </w:rPr>
        <w:t>ями, які призначаються.</w:t>
      </w:r>
      <w:r w:rsidR="002014D1" w:rsidRPr="00FA23DA">
        <w:rPr>
          <w:rStyle w:val="FootnoteReference"/>
          <w:rFonts w:ascii="Times New Roman" w:hAnsi="Times New Roman" w:cs="Times New Roman"/>
          <w:sz w:val="28"/>
          <w:szCs w:val="28"/>
        </w:rPr>
        <w:footnoteReference w:id="70"/>
      </w:r>
    </w:p>
    <w:p w14:paraId="5AA130F5" w14:textId="77777777" w:rsidR="00293660" w:rsidRPr="00FA23DA" w:rsidRDefault="00445FE6"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Як зазначає К. </w:t>
      </w:r>
      <w:proofErr w:type="spellStart"/>
      <w:r w:rsidRPr="00FA23DA">
        <w:rPr>
          <w:rFonts w:ascii="Times New Roman" w:hAnsi="Times New Roman" w:cs="Times New Roman"/>
          <w:sz w:val="28"/>
          <w:szCs w:val="28"/>
        </w:rPr>
        <w:t>Роземонд</w:t>
      </w:r>
      <w:proofErr w:type="spellEnd"/>
      <w:r w:rsidRPr="00FA23DA">
        <w:rPr>
          <w:rFonts w:ascii="Times New Roman" w:hAnsi="Times New Roman" w:cs="Times New Roman"/>
          <w:sz w:val="28"/>
          <w:szCs w:val="28"/>
        </w:rPr>
        <w:t>, концепція прав не вимагає суворого слідування букві закону чи намірам законодавця у кримінальному праві, а навпаки – вимагає цільового тлумачення кримінального права для захисту прав громадян.</w:t>
      </w:r>
      <w:r w:rsidR="0080685A" w:rsidRPr="00FA23DA">
        <w:rPr>
          <w:rFonts w:ascii="Times New Roman" w:hAnsi="Times New Roman" w:cs="Times New Roman"/>
          <w:sz w:val="28"/>
          <w:szCs w:val="28"/>
        </w:rPr>
        <w:t xml:space="preserve"> Відповідно до його позиції тлумачення з метою захисту прав громадян може </w:t>
      </w:r>
      <w:r w:rsidR="0080685A" w:rsidRPr="00FA23DA">
        <w:rPr>
          <w:rFonts w:ascii="Times New Roman" w:hAnsi="Times New Roman" w:cs="Times New Roman"/>
          <w:sz w:val="28"/>
          <w:szCs w:val="28"/>
        </w:rPr>
        <w:lastRenderedPageBreak/>
        <w:t xml:space="preserve">вимагати розширеного тлумачення </w:t>
      </w:r>
      <w:r w:rsidR="004659FA" w:rsidRPr="00FA23DA">
        <w:rPr>
          <w:rFonts w:ascii="Times New Roman" w:hAnsi="Times New Roman" w:cs="Times New Roman"/>
          <w:sz w:val="28"/>
          <w:szCs w:val="28"/>
        </w:rPr>
        <w:t>норм на шкоду підсудному з метою захисту прав жертви.</w:t>
      </w:r>
      <w:r w:rsidR="002014D1" w:rsidRPr="00FA23DA">
        <w:rPr>
          <w:rStyle w:val="FootnoteReference"/>
          <w:rFonts w:ascii="Times New Roman" w:hAnsi="Times New Roman" w:cs="Times New Roman"/>
          <w:sz w:val="28"/>
          <w:szCs w:val="28"/>
        </w:rPr>
        <w:footnoteReference w:id="71"/>
      </w:r>
    </w:p>
    <w:p w14:paraId="74E00EA0" w14:textId="77777777" w:rsidR="00637DF4" w:rsidRPr="00FA23DA" w:rsidRDefault="00F95567"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К. </w:t>
      </w:r>
      <w:proofErr w:type="spellStart"/>
      <w:r w:rsidRPr="00FA23DA">
        <w:rPr>
          <w:rFonts w:ascii="Times New Roman" w:hAnsi="Times New Roman" w:cs="Times New Roman"/>
          <w:sz w:val="28"/>
          <w:szCs w:val="28"/>
        </w:rPr>
        <w:t>Роземонд</w:t>
      </w:r>
      <w:proofErr w:type="spellEnd"/>
      <w:r w:rsidRPr="00FA23DA">
        <w:rPr>
          <w:rFonts w:ascii="Times New Roman" w:hAnsi="Times New Roman" w:cs="Times New Roman"/>
          <w:sz w:val="28"/>
          <w:szCs w:val="28"/>
        </w:rPr>
        <w:t xml:space="preserve"> зазначає про так звані «</w:t>
      </w:r>
      <w:r w:rsidRPr="00FA23DA">
        <w:rPr>
          <w:rFonts w:ascii="Times New Roman" w:hAnsi="Times New Roman" w:cs="Times New Roman"/>
          <w:sz w:val="28"/>
          <w:szCs w:val="28"/>
          <w:lang w:val="en-US"/>
        </w:rPr>
        <w:t>hard</w:t>
      </w:r>
      <w:r w:rsidRPr="00FA23DA">
        <w:rPr>
          <w:rFonts w:ascii="Times New Roman" w:hAnsi="Times New Roman" w:cs="Times New Roman"/>
          <w:sz w:val="28"/>
          <w:szCs w:val="28"/>
          <w:lang w:val="ru-RU"/>
        </w:rPr>
        <w:t xml:space="preserve"> </w:t>
      </w:r>
      <w:r w:rsidRPr="00FA23DA">
        <w:rPr>
          <w:rFonts w:ascii="Times New Roman" w:hAnsi="Times New Roman" w:cs="Times New Roman"/>
          <w:sz w:val="28"/>
          <w:szCs w:val="28"/>
          <w:lang w:val="en-US"/>
        </w:rPr>
        <w:t>cases</w:t>
      </w:r>
      <w:r w:rsidRPr="00FA23DA">
        <w:rPr>
          <w:rFonts w:ascii="Times New Roman" w:hAnsi="Times New Roman" w:cs="Times New Roman"/>
          <w:sz w:val="28"/>
          <w:szCs w:val="28"/>
        </w:rPr>
        <w:t>», коли тлумачення закону з метою захисту прав жертви призводить до розширеного тлумачення норм права, яке у свою чергу суперечить намірам законодавця та шкодить підсудному.</w:t>
      </w:r>
      <w:r w:rsidR="00182BB4" w:rsidRPr="00FA23DA">
        <w:rPr>
          <w:rFonts w:ascii="Times New Roman" w:hAnsi="Times New Roman" w:cs="Times New Roman"/>
          <w:sz w:val="28"/>
          <w:szCs w:val="28"/>
        </w:rPr>
        <w:t xml:space="preserve"> Прикладом такого випадку є справа «С. R. проти Сполученого Королівства», про яку уже йшлося</w:t>
      </w:r>
      <w:r w:rsidR="00220181" w:rsidRPr="00FA23DA">
        <w:rPr>
          <w:rFonts w:ascii="Times New Roman" w:hAnsi="Times New Roman" w:cs="Times New Roman"/>
          <w:sz w:val="28"/>
          <w:szCs w:val="28"/>
        </w:rPr>
        <w:t xml:space="preserve"> раніше</w:t>
      </w:r>
      <w:r w:rsidR="00182BB4" w:rsidRPr="00FA23DA">
        <w:rPr>
          <w:rFonts w:ascii="Times New Roman" w:hAnsi="Times New Roman" w:cs="Times New Roman"/>
          <w:sz w:val="28"/>
          <w:szCs w:val="28"/>
        </w:rPr>
        <w:t>.</w:t>
      </w:r>
      <w:r w:rsidR="00220181" w:rsidRPr="00FA23DA">
        <w:rPr>
          <w:rFonts w:ascii="Times New Roman" w:hAnsi="Times New Roman" w:cs="Times New Roman"/>
          <w:sz w:val="28"/>
          <w:szCs w:val="28"/>
        </w:rPr>
        <w:t xml:space="preserve"> Така ситуація є демонстрацією ідеалу захисту жертви, який є більш пріоритетним, ніж суворе дотримання встановлених правил</w:t>
      </w:r>
      <w:r w:rsidR="008C10BB" w:rsidRPr="00FA23DA">
        <w:rPr>
          <w:rFonts w:ascii="Times New Roman" w:hAnsi="Times New Roman" w:cs="Times New Roman"/>
          <w:sz w:val="28"/>
          <w:szCs w:val="28"/>
        </w:rPr>
        <w:t>. Відповідно, особа не має права</w:t>
      </w:r>
      <w:r w:rsidR="00220181" w:rsidRPr="00FA23DA">
        <w:rPr>
          <w:rFonts w:ascii="Times New Roman" w:hAnsi="Times New Roman" w:cs="Times New Roman"/>
          <w:sz w:val="28"/>
          <w:szCs w:val="28"/>
        </w:rPr>
        <w:t xml:space="preserve"> посилатися на буквальне тлумачення норм у суді для уникнення покарання. Аргументуючи свої погляди, К. </w:t>
      </w:r>
      <w:proofErr w:type="spellStart"/>
      <w:r w:rsidR="00220181" w:rsidRPr="00FA23DA">
        <w:rPr>
          <w:rFonts w:ascii="Times New Roman" w:hAnsi="Times New Roman" w:cs="Times New Roman"/>
          <w:sz w:val="28"/>
          <w:szCs w:val="28"/>
        </w:rPr>
        <w:t>Роземонд</w:t>
      </w:r>
      <w:proofErr w:type="spellEnd"/>
      <w:r w:rsidR="00220181" w:rsidRPr="00FA23DA">
        <w:rPr>
          <w:rFonts w:ascii="Times New Roman" w:hAnsi="Times New Roman" w:cs="Times New Roman"/>
          <w:sz w:val="28"/>
          <w:szCs w:val="28"/>
        </w:rPr>
        <w:t xml:space="preserve"> зазначає, що </w:t>
      </w:r>
      <w:r w:rsidR="00197399" w:rsidRPr="00FA23DA">
        <w:rPr>
          <w:rFonts w:ascii="Times New Roman" w:hAnsi="Times New Roman" w:cs="Times New Roman"/>
          <w:sz w:val="28"/>
          <w:szCs w:val="28"/>
        </w:rPr>
        <w:t>підсудн</w:t>
      </w:r>
      <w:r w:rsidR="00DC73F6" w:rsidRPr="00FA23DA">
        <w:rPr>
          <w:rFonts w:ascii="Times New Roman" w:hAnsi="Times New Roman" w:cs="Times New Roman"/>
          <w:sz w:val="28"/>
          <w:szCs w:val="28"/>
        </w:rPr>
        <w:t xml:space="preserve">ий звинувачується не у порушенні якихось формальних правил, а </w:t>
      </w:r>
      <w:r w:rsidR="00B062EE" w:rsidRPr="00FA23DA">
        <w:rPr>
          <w:rFonts w:ascii="Times New Roman" w:hAnsi="Times New Roman" w:cs="Times New Roman"/>
          <w:sz w:val="28"/>
          <w:szCs w:val="28"/>
        </w:rPr>
        <w:t>у порушенні</w:t>
      </w:r>
      <w:r w:rsidR="00DC73F6" w:rsidRPr="00FA23DA">
        <w:rPr>
          <w:rFonts w:ascii="Times New Roman" w:hAnsi="Times New Roman" w:cs="Times New Roman"/>
          <w:sz w:val="28"/>
          <w:szCs w:val="28"/>
        </w:rPr>
        <w:t xml:space="preserve"> основних прав інших осіб.</w:t>
      </w:r>
      <w:r w:rsidR="002014D1" w:rsidRPr="00FA23DA">
        <w:rPr>
          <w:rStyle w:val="FootnoteReference"/>
          <w:rFonts w:ascii="Times New Roman" w:hAnsi="Times New Roman" w:cs="Times New Roman"/>
          <w:sz w:val="28"/>
          <w:szCs w:val="28"/>
        </w:rPr>
        <w:footnoteReference w:id="72"/>
      </w:r>
    </w:p>
    <w:p w14:paraId="529E1858" w14:textId="77777777" w:rsidR="00995A20" w:rsidRPr="00FA23DA" w:rsidRDefault="008C10BB"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Однак, і</w:t>
      </w:r>
      <w:r w:rsidR="00995A20" w:rsidRPr="00FA23DA">
        <w:rPr>
          <w:rFonts w:ascii="Times New Roman" w:hAnsi="Times New Roman" w:cs="Times New Roman"/>
          <w:sz w:val="28"/>
          <w:szCs w:val="28"/>
        </w:rPr>
        <w:t>деал захисту прав не обов’язково може означати застосування караль</w:t>
      </w:r>
      <w:r w:rsidRPr="00FA23DA">
        <w:rPr>
          <w:rFonts w:ascii="Times New Roman" w:hAnsi="Times New Roman" w:cs="Times New Roman"/>
          <w:sz w:val="28"/>
          <w:szCs w:val="28"/>
        </w:rPr>
        <w:t>них заходів щодо окремих осіб, а він</w:t>
      </w:r>
      <w:r w:rsidR="00995A20" w:rsidRPr="00FA23DA">
        <w:rPr>
          <w:rFonts w:ascii="Times New Roman" w:hAnsi="Times New Roman" w:cs="Times New Roman"/>
          <w:sz w:val="28"/>
          <w:szCs w:val="28"/>
        </w:rPr>
        <w:t xml:space="preserve"> також охоплює і відмову у застосуванні каральних повноважень.</w:t>
      </w:r>
      <w:r w:rsidR="00BB19DA" w:rsidRPr="00FA23DA">
        <w:rPr>
          <w:rFonts w:ascii="Times New Roman" w:hAnsi="Times New Roman" w:cs="Times New Roman"/>
          <w:sz w:val="28"/>
          <w:szCs w:val="28"/>
        </w:rPr>
        <w:t xml:space="preserve"> У цьому контексті можна звернутися до </w:t>
      </w:r>
      <w:proofErr w:type="spellStart"/>
      <w:r w:rsidR="00BB19DA" w:rsidRPr="00FA23DA">
        <w:rPr>
          <w:rFonts w:ascii="Times New Roman" w:hAnsi="Times New Roman" w:cs="Times New Roman"/>
          <w:sz w:val="28"/>
          <w:szCs w:val="28"/>
        </w:rPr>
        <w:t>Дж</w:t>
      </w:r>
      <w:proofErr w:type="spellEnd"/>
      <w:r w:rsidR="00BB19DA" w:rsidRPr="00FA23DA">
        <w:rPr>
          <w:rFonts w:ascii="Times New Roman" w:hAnsi="Times New Roman" w:cs="Times New Roman"/>
          <w:sz w:val="28"/>
          <w:szCs w:val="28"/>
        </w:rPr>
        <w:t xml:space="preserve">. </w:t>
      </w:r>
      <w:proofErr w:type="spellStart"/>
      <w:r w:rsidR="00BB19DA" w:rsidRPr="00FA23DA">
        <w:rPr>
          <w:rFonts w:ascii="Times New Roman" w:hAnsi="Times New Roman" w:cs="Times New Roman"/>
          <w:sz w:val="28"/>
          <w:szCs w:val="28"/>
        </w:rPr>
        <w:t>Флетчера</w:t>
      </w:r>
      <w:proofErr w:type="spellEnd"/>
      <w:r w:rsidR="00BB19DA" w:rsidRPr="00FA23DA">
        <w:rPr>
          <w:rFonts w:ascii="Times New Roman" w:hAnsi="Times New Roman" w:cs="Times New Roman"/>
          <w:sz w:val="28"/>
          <w:szCs w:val="28"/>
        </w:rPr>
        <w:t xml:space="preserve">, який </w:t>
      </w:r>
      <w:r w:rsidR="001F4BBD" w:rsidRPr="00FA23DA">
        <w:rPr>
          <w:rFonts w:ascii="Times New Roman" w:hAnsi="Times New Roman" w:cs="Times New Roman"/>
          <w:sz w:val="28"/>
          <w:szCs w:val="28"/>
        </w:rPr>
        <w:t>виділяє негативну та позитивну законність. Відповідно до принципу негативної законності найвищим ступенем турботи правової системи є захист громадян від агресивної поведінки держави. Цей принцип базується на правилі, за яким не може існувати покарання без попереднього законодавчого попередження. Так, існує багато ситуацій, які знаходяться на межі злочинної діяльності, тому для чіткого розуміння особами своїх дій необхідні чіткі попередження. Водночас необхідність керуватися уже існуючими правилами унеможливить необмежену діяльність та владу суддів і зобов’яже їх аргументувати свої рішення на основі уже наявних норм.</w:t>
      </w:r>
      <w:r w:rsidR="002014D1" w:rsidRPr="00FA23DA">
        <w:rPr>
          <w:rStyle w:val="FootnoteReference"/>
          <w:rFonts w:ascii="Times New Roman" w:hAnsi="Times New Roman" w:cs="Times New Roman"/>
          <w:sz w:val="28"/>
          <w:szCs w:val="28"/>
        </w:rPr>
        <w:footnoteReference w:id="73"/>
      </w:r>
    </w:p>
    <w:p w14:paraId="1618CA81" w14:textId="77777777" w:rsidR="001F4BBD" w:rsidRPr="00FA23DA" w:rsidRDefault="00271D65"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На відміну від негативної законності позитивна полягає у послідовності та повноті застосування</w:t>
      </w:r>
      <w:r w:rsidR="0023199B" w:rsidRPr="00FA23DA">
        <w:rPr>
          <w:rFonts w:ascii="Times New Roman" w:hAnsi="Times New Roman" w:cs="Times New Roman"/>
          <w:sz w:val="28"/>
          <w:szCs w:val="28"/>
        </w:rPr>
        <w:t xml:space="preserve"> кримінально-правових норм</w:t>
      </w:r>
      <w:r w:rsidRPr="00FA23DA">
        <w:rPr>
          <w:rFonts w:ascii="Times New Roman" w:hAnsi="Times New Roman" w:cs="Times New Roman"/>
          <w:sz w:val="28"/>
          <w:szCs w:val="28"/>
        </w:rPr>
        <w:t xml:space="preserve">. </w:t>
      </w:r>
      <w:r w:rsidR="0023199B" w:rsidRPr="00FA23DA">
        <w:rPr>
          <w:rFonts w:ascii="Times New Roman" w:hAnsi="Times New Roman" w:cs="Times New Roman"/>
          <w:sz w:val="28"/>
          <w:szCs w:val="28"/>
        </w:rPr>
        <w:t xml:space="preserve">Передбачається, що кримінальний закон повинен карати усіх винних, а жертви злочинів мають </w:t>
      </w:r>
      <w:r w:rsidR="0023199B" w:rsidRPr="00FA23DA">
        <w:rPr>
          <w:rFonts w:ascii="Times New Roman" w:hAnsi="Times New Roman" w:cs="Times New Roman"/>
          <w:sz w:val="28"/>
          <w:szCs w:val="28"/>
        </w:rPr>
        <w:lastRenderedPageBreak/>
        <w:t>отримувати додатковий захист.</w:t>
      </w:r>
      <w:r w:rsidR="0025416C" w:rsidRPr="00FA23DA">
        <w:rPr>
          <w:rFonts w:ascii="Times New Roman" w:hAnsi="Times New Roman" w:cs="Times New Roman"/>
          <w:sz w:val="28"/>
          <w:szCs w:val="28"/>
        </w:rPr>
        <w:t xml:space="preserve"> Однак, такий принцип викликає немало суперечностей, які в основному ґрунтуються на різних підходах до розуміння права у різних правових системах.</w:t>
      </w:r>
      <w:r w:rsidR="002014D1" w:rsidRPr="00FA23DA">
        <w:rPr>
          <w:rStyle w:val="FootnoteReference"/>
          <w:rFonts w:ascii="Times New Roman" w:hAnsi="Times New Roman" w:cs="Times New Roman"/>
          <w:sz w:val="28"/>
          <w:szCs w:val="28"/>
        </w:rPr>
        <w:footnoteReference w:id="74"/>
      </w:r>
    </w:p>
    <w:p w14:paraId="501D64DE" w14:textId="77777777" w:rsidR="0025416C" w:rsidRPr="00FA23DA" w:rsidRDefault="0025416C" w:rsidP="00FA23DA">
      <w:pPr>
        <w:spacing w:after="0" w:line="360" w:lineRule="auto"/>
        <w:ind w:firstLine="709"/>
        <w:jc w:val="both"/>
        <w:rPr>
          <w:rFonts w:ascii="Times New Roman" w:hAnsi="Times New Roman" w:cs="Times New Roman"/>
          <w:sz w:val="28"/>
          <w:szCs w:val="28"/>
        </w:rPr>
      </w:pPr>
      <w:proofErr w:type="spellStart"/>
      <w:r w:rsidRPr="00FA23DA">
        <w:rPr>
          <w:rFonts w:ascii="Times New Roman" w:hAnsi="Times New Roman" w:cs="Times New Roman"/>
          <w:sz w:val="28"/>
          <w:szCs w:val="28"/>
        </w:rPr>
        <w:t>Дж</w:t>
      </w:r>
      <w:proofErr w:type="spellEnd"/>
      <w:r w:rsidRPr="00FA23DA">
        <w:rPr>
          <w:rFonts w:ascii="Times New Roman" w:hAnsi="Times New Roman" w:cs="Times New Roman"/>
          <w:sz w:val="28"/>
          <w:szCs w:val="28"/>
        </w:rPr>
        <w:t xml:space="preserve">. </w:t>
      </w:r>
      <w:proofErr w:type="spellStart"/>
      <w:r w:rsidRPr="00FA23DA">
        <w:rPr>
          <w:rFonts w:ascii="Times New Roman" w:hAnsi="Times New Roman" w:cs="Times New Roman"/>
          <w:sz w:val="28"/>
          <w:szCs w:val="28"/>
        </w:rPr>
        <w:t>Флетчер</w:t>
      </w:r>
      <w:proofErr w:type="spellEnd"/>
      <w:r w:rsidRPr="00FA23DA">
        <w:rPr>
          <w:rFonts w:ascii="Times New Roman" w:hAnsi="Times New Roman" w:cs="Times New Roman"/>
          <w:sz w:val="28"/>
          <w:szCs w:val="28"/>
        </w:rPr>
        <w:t xml:space="preserve">, демонструючи розбіжності поглядів, наводить приклад з чоловіком, який після його виправдання у судовому процесу зізнається у вбивстві своєї дружини. </w:t>
      </w:r>
      <w:proofErr w:type="spellStart"/>
      <w:r w:rsidRPr="00FA23DA">
        <w:rPr>
          <w:rFonts w:ascii="Times New Roman" w:hAnsi="Times New Roman" w:cs="Times New Roman"/>
          <w:sz w:val="28"/>
          <w:szCs w:val="28"/>
        </w:rPr>
        <w:t>Дж</w:t>
      </w:r>
      <w:proofErr w:type="spellEnd"/>
      <w:r w:rsidRPr="00FA23DA">
        <w:rPr>
          <w:rFonts w:ascii="Times New Roman" w:hAnsi="Times New Roman" w:cs="Times New Roman"/>
          <w:sz w:val="28"/>
          <w:szCs w:val="28"/>
        </w:rPr>
        <w:t xml:space="preserve">. </w:t>
      </w:r>
      <w:proofErr w:type="spellStart"/>
      <w:r w:rsidRPr="00FA23DA">
        <w:rPr>
          <w:rFonts w:ascii="Times New Roman" w:hAnsi="Times New Roman" w:cs="Times New Roman"/>
          <w:sz w:val="28"/>
          <w:szCs w:val="28"/>
        </w:rPr>
        <w:t>Флетчер</w:t>
      </w:r>
      <w:proofErr w:type="spellEnd"/>
      <w:r w:rsidRPr="00FA23DA">
        <w:rPr>
          <w:rFonts w:ascii="Times New Roman" w:hAnsi="Times New Roman" w:cs="Times New Roman"/>
          <w:sz w:val="28"/>
          <w:szCs w:val="28"/>
        </w:rPr>
        <w:t xml:space="preserve"> стверджує, що у такому випадку у німецькій системі права така обставина розглядалася б як новий доказ, який дозволить повторно відкрити та розглянути справу. Водночас, як він зазначає, американська система у жодному разі не відновлювала</w:t>
      </w:r>
      <w:r w:rsidR="00865C99" w:rsidRPr="00FA23DA">
        <w:rPr>
          <w:rFonts w:ascii="Times New Roman" w:hAnsi="Times New Roman" w:cs="Times New Roman"/>
          <w:sz w:val="28"/>
          <w:szCs w:val="28"/>
        </w:rPr>
        <w:t xml:space="preserve"> б</w:t>
      </w:r>
      <w:r w:rsidRPr="00FA23DA">
        <w:rPr>
          <w:rFonts w:ascii="Times New Roman" w:hAnsi="Times New Roman" w:cs="Times New Roman"/>
          <w:sz w:val="28"/>
          <w:szCs w:val="28"/>
        </w:rPr>
        <w:t xml:space="preserve"> кримінальне провадження, оскільки усі можливі дії державою уже були вжиті, тому продовження переслідування особи буде несправедливим. У цьому контексті, у німецькій правовій системі верховенство права – це меч, а в американській – щит від державної влади.</w:t>
      </w:r>
      <w:r w:rsidR="002014D1" w:rsidRPr="00FA23DA">
        <w:rPr>
          <w:rStyle w:val="FootnoteReference"/>
          <w:rFonts w:ascii="Times New Roman" w:hAnsi="Times New Roman" w:cs="Times New Roman"/>
          <w:sz w:val="28"/>
          <w:szCs w:val="28"/>
        </w:rPr>
        <w:footnoteReference w:id="75"/>
      </w:r>
    </w:p>
    <w:p w14:paraId="12B386B9" w14:textId="77777777" w:rsidR="00AC7B10" w:rsidRPr="00FA23DA" w:rsidRDefault="00A237DD"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Цілком усталеною є практика, відповідно до якої будь-які сумніви у кримінальному праві, у тому числі щодо застосування закону, повинні тлумачитися на користь підсудного. Така позиція є необхідною у першу чергу у контексті справедливості, адже будь-які намагання притягнути особу до відповідальності за відсутності чітких нормативних приписів слід вважати несправедливим. Також винесення </w:t>
      </w:r>
      <w:proofErr w:type="spellStart"/>
      <w:r w:rsidRPr="00FA23DA">
        <w:rPr>
          <w:rFonts w:ascii="Times New Roman" w:hAnsi="Times New Roman" w:cs="Times New Roman"/>
          <w:sz w:val="28"/>
          <w:szCs w:val="28"/>
        </w:rPr>
        <w:t>вироків</w:t>
      </w:r>
      <w:proofErr w:type="spellEnd"/>
      <w:r w:rsidRPr="00FA23DA">
        <w:rPr>
          <w:rFonts w:ascii="Times New Roman" w:hAnsi="Times New Roman" w:cs="Times New Roman"/>
          <w:sz w:val="28"/>
          <w:szCs w:val="28"/>
        </w:rPr>
        <w:t xml:space="preserve"> на основі заздалегідь невизначених норм спровокую «охолоджувальний ефект», коли особи для убезпечення себе будуть утримуватися навіть від тієї поведінки, яка не є кримінально карано</w:t>
      </w:r>
      <w:r w:rsidR="00A1065A" w:rsidRPr="00FA23DA">
        <w:rPr>
          <w:rFonts w:ascii="Times New Roman" w:hAnsi="Times New Roman" w:cs="Times New Roman"/>
          <w:sz w:val="28"/>
          <w:szCs w:val="28"/>
        </w:rPr>
        <w:t>ю</w:t>
      </w:r>
      <w:r w:rsidRPr="00FA23DA">
        <w:rPr>
          <w:rFonts w:ascii="Times New Roman" w:hAnsi="Times New Roman" w:cs="Times New Roman"/>
          <w:sz w:val="28"/>
          <w:szCs w:val="28"/>
        </w:rPr>
        <w:t>.</w:t>
      </w:r>
      <w:r w:rsidR="002014D1" w:rsidRPr="00FA23DA">
        <w:rPr>
          <w:rStyle w:val="FootnoteReference"/>
          <w:rFonts w:ascii="Times New Roman" w:hAnsi="Times New Roman" w:cs="Times New Roman"/>
          <w:sz w:val="28"/>
          <w:szCs w:val="28"/>
        </w:rPr>
        <w:footnoteReference w:id="76"/>
      </w:r>
    </w:p>
    <w:p w14:paraId="0C44142B" w14:textId="77777777" w:rsidR="00AC7B10" w:rsidRPr="00FA23DA" w:rsidRDefault="00F0505B" w:rsidP="00FA23DA">
      <w:pPr>
        <w:spacing w:after="0" w:line="360" w:lineRule="auto"/>
        <w:ind w:firstLine="709"/>
        <w:jc w:val="both"/>
        <w:rPr>
          <w:rFonts w:ascii="Times New Roman" w:hAnsi="Times New Roman" w:cs="Times New Roman"/>
          <w:b/>
          <w:sz w:val="28"/>
          <w:szCs w:val="28"/>
        </w:rPr>
      </w:pPr>
      <w:r w:rsidRPr="00FA23DA">
        <w:rPr>
          <w:rFonts w:ascii="Times New Roman" w:hAnsi="Times New Roman" w:cs="Times New Roman"/>
          <w:b/>
          <w:sz w:val="28"/>
          <w:szCs w:val="28"/>
        </w:rPr>
        <w:t>Висновок.</w:t>
      </w:r>
      <w:r w:rsidR="009943B3" w:rsidRPr="00FA23DA">
        <w:rPr>
          <w:rFonts w:ascii="Times New Roman" w:hAnsi="Times New Roman" w:cs="Times New Roman"/>
          <w:b/>
          <w:sz w:val="28"/>
          <w:szCs w:val="28"/>
          <w:lang w:val="ru-RU"/>
        </w:rPr>
        <w:t xml:space="preserve"> </w:t>
      </w:r>
      <w:r w:rsidR="00FF5023" w:rsidRPr="00FA23DA">
        <w:rPr>
          <w:rFonts w:ascii="Times New Roman" w:hAnsi="Times New Roman" w:cs="Times New Roman"/>
          <w:sz w:val="28"/>
          <w:szCs w:val="28"/>
        </w:rPr>
        <w:t>Здійснивши аналіз особливостей тлумачення кримінального права, у тому числі розширеного, крізь призму іст</w:t>
      </w:r>
      <w:r w:rsidRPr="00FA23DA">
        <w:rPr>
          <w:rFonts w:ascii="Times New Roman" w:hAnsi="Times New Roman" w:cs="Times New Roman"/>
          <w:sz w:val="28"/>
          <w:szCs w:val="28"/>
        </w:rPr>
        <w:t>оричного розвитку цього поняття</w:t>
      </w:r>
      <w:r w:rsidR="00FF5023" w:rsidRPr="00FA23DA">
        <w:rPr>
          <w:rFonts w:ascii="Times New Roman" w:hAnsi="Times New Roman" w:cs="Times New Roman"/>
          <w:sz w:val="28"/>
          <w:szCs w:val="28"/>
        </w:rPr>
        <w:t>, а також засад його поділу на публічне та приватне, притаманних їм ознак,</w:t>
      </w:r>
      <w:r w:rsidR="0049250E" w:rsidRPr="00FA23DA">
        <w:rPr>
          <w:rFonts w:ascii="Times New Roman" w:hAnsi="Times New Roman" w:cs="Times New Roman"/>
          <w:sz w:val="28"/>
          <w:szCs w:val="28"/>
        </w:rPr>
        <w:t xml:space="preserve"> можна зробити певні висновки.</w:t>
      </w:r>
    </w:p>
    <w:p w14:paraId="2AC66880" w14:textId="77777777" w:rsidR="00E32D1E" w:rsidRPr="00FA23DA" w:rsidRDefault="0049250E"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 xml:space="preserve">Право – динамічне явище, яке є відображенням ступеня розвитку суспільства, </w:t>
      </w:r>
      <w:r w:rsidR="00F0505B" w:rsidRPr="00FA23DA">
        <w:rPr>
          <w:rFonts w:ascii="Times New Roman" w:hAnsi="Times New Roman" w:cs="Times New Roman"/>
          <w:sz w:val="28"/>
          <w:szCs w:val="28"/>
        </w:rPr>
        <w:t xml:space="preserve">відносини у якому воно регулює. </w:t>
      </w:r>
      <w:r w:rsidRPr="00FA23DA">
        <w:rPr>
          <w:rFonts w:ascii="Times New Roman" w:hAnsi="Times New Roman" w:cs="Times New Roman"/>
          <w:sz w:val="28"/>
          <w:szCs w:val="28"/>
        </w:rPr>
        <w:t xml:space="preserve">Застосування розширеного </w:t>
      </w:r>
      <w:r w:rsidRPr="00FA23DA">
        <w:rPr>
          <w:rFonts w:ascii="Times New Roman" w:hAnsi="Times New Roman" w:cs="Times New Roman"/>
          <w:sz w:val="28"/>
          <w:szCs w:val="28"/>
        </w:rPr>
        <w:lastRenderedPageBreak/>
        <w:t>тлумачення у галузях публічного права, у тому числі у кримінальному праві, є неминучим. Це пов’язано з безперервною еволюцією людства, розвитком та зміною суспільних відносин, загальних уявлень про право та про буття загалом. Усе це зумовлює розвиток права, як живого організму, який повинен адекватно реагувати на будь-які зміни, щоб залишатися ефективним регулятором.</w:t>
      </w:r>
    </w:p>
    <w:p w14:paraId="18A3B6CB" w14:textId="77777777" w:rsidR="00E7589D" w:rsidRPr="00FA23DA" w:rsidRDefault="00892938"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Також очевидно</w:t>
      </w:r>
      <w:r w:rsidR="0049250E" w:rsidRPr="00FA23DA">
        <w:rPr>
          <w:rFonts w:ascii="Times New Roman" w:hAnsi="Times New Roman" w:cs="Times New Roman"/>
          <w:sz w:val="28"/>
          <w:szCs w:val="28"/>
        </w:rPr>
        <w:t>,</w:t>
      </w:r>
      <w:r w:rsidRPr="00FA23DA">
        <w:rPr>
          <w:rFonts w:ascii="Times New Roman" w:hAnsi="Times New Roman" w:cs="Times New Roman"/>
          <w:sz w:val="28"/>
          <w:szCs w:val="28"/>
        </w:rPr>
        <w:t xml:space="preserve"> що</w:t>
      </w:r>
      <w:r w:rsidR="0049250E" w:rsidRPr="00FA23DA">
        <w:rPr>
          <w:rFonts w:ascii="Times New Roman" w:hAnsi="Times New Roman" w:cs="Times New Roman"/>
          <w:sz w:val="28"/>
          <w:szCs w:val="28"/>
        </w:rPr>
        <w:t xml:space="preserve"> розширене тлумачення не може бути безмежним, адже це породить свавілля, яке у свою чергу знищить </w:t>
      </w:r>
      <w:r w:rsidR="00F0505B" w:rsidRPr="00FA23DA">
        <w:rPr>
          <w:rFonts w:ascii="Times New Roman" w:hAnsi="Times New Roman" w:cs="Times New Roman"/>
          <w:sz w:val="28"/>
          <w:szCs w:val="28"/>
        </w:rPr>
        <w:t xml:space="preserve">сам </w:t>
      </w:r>
      <w:r w:rsidR="0049250E" w:rsidRPr="00FA23DA">
        <w:rPr>
          <w:rFonts w:ascii="Times New Roman" w:hAnsi="Times New Roman" w:cs="Times New Roman"/>
          <w:sz w:val="28"/>
          <w:szCs w:val="28"/>
        </w:rPr>
        <w:t xml:space="preserve">правовий устрій. Особливого ставлення потребує розширене тлумачення кримінально-правових норм. Кримінальне право характерне можливістю у окремих випадках втручатися у життя людини та здійснювати незворотній вплив на нього. </w:t>
      </w:r>
    </w:p>
    <w:p w14:paraId="5BA83760" w14:textId="77777777" w:rsidR="001123DD" w:rsidRPr="00FA23DA" w:rsidRDefault="0049250E" w:rsidP="00FA23DA">
      <w:pPr>
        <w:spacing w:after="0" w:line="360" w:lineRule="auto"/>
        <w:ind w:firstLine="709"/>
        <w:jc w:val="both"/>
        <w:rPr>
          <w:rFonts w:ascii="Times New Roman" w:hAnsi="Times New Roman" w:cs="Times New Roman"/>
          <w:sz w:val="28"/>
          <w:szCs w:val="28"/>
        </w:rPr>
      </w:pPr>
      <w:r w:rsidRPr="00FA23DA">
        <w:rPr>
          <w:rFonts w:ascii="Times New Roman" w:hAnsi="Times New Roman" w:cs="Times New Roman"/>
          <w:sz w:val="28"/>
          <w:szCs w:val="28"/>
        </w:rPr>
        <w:t>З огляду на це, повинні існувати орієнтири та обмеження, перетин</w:t>
      </w:r>
      <w:r w:rsidR="00E7589D" w:rsidRPr="00FA23DA">
        <w:rPr>
          <w:rFonts w:ascii="Times New Roman" w:hAnsi="Times New Roman" w:cs="Times New Roman"/>
          <w:sz w:val="28"/>
          <w:szCs w:val="28"/>
        </w:rPr>
        <w:t xml:space="preserve"> яких буде неприпустимим. Такими орієнтирами та обмеженнями однозначно є права людини, у рівній мірі як підсудного, так і потерпілого. Тлумачення, яке буде порушувати ці права, не може здійснюватися апріорі, адже ідея захисту прав однієї людини за рахунок порушення прав іншою є несправедливою та не може реалізовуватися на практиці.</w:t>
      </w:r>
    </w:p>
    <w:p w14:paraId="5F614F77" w14:textId="77777777" w:rsidR="00446278" w:rsidRPr="00FA23DA" w:rsidRDefault="00446278" w:rsidP="00FA23DA">
      <w:pPr>
        <w:spacing w:after="0" w:line="360" w:lineRule="auto"/>
        <w:ind w:firstLine="709"/>
        <w:jc w:val="both"/>
        <w:rPr>
          <w:rFonts w:ascii="Times New Roman" w:hAnsi="Times New Roman" w:cs="Times New Roman"/>
          <w:sz w:val="28"/>
          <w:szCs w:val="28"/>
        </w:rPr>
      </w:pPr>
    </w:p>
    <w:p w14:paraId="33327028" w14:textId="77777777" w:rsidR="003910C7" w:rsidRDefault="001123DD" w:rsidP="00FA23DA">
      <w:pPr>
        <w:spacing w:after="0" w:line="360" w:lineRule="auto"/>
        <w:jc w:val="center"/>
        <w:rPr>
          <w:rFonts w:ascii="Times New Roman" w:hAnsi="Times New Roman" w:cs="Times New Roman"/>
          <w:b/>
          <w:i/>
          <w:sz w:val="28"/>
          <w:szCs w:val="28"/>
        </w:rPr>
      </w:pPr>
      <w:r w:rsidRPr="00FA23DA">
        <w:rPr>
          <w:rFonts w:ascii="Times New Roman" w:hAnsi="Times New Roman" w:cs="Times New Roman"/>
          <w:b/>
          <w:i/>
          <w:sz w:val="28"/>
          <w:szCs w:val="28"/>
        </w:rPr>
        <w:t>Використані джерела</w:t>
      </w:r>
    </w:p>
    <w:p w14:paraId="58DC9526" w14:textId="77777777" w:rsidR="00FA23DA" w:rsidRPr="00FA23DA" w:rsidRDefault="00FA23DA" w:rsidP="00FA23DA">
      <w:pPr>
        <w:spacing w:after="0" w:line="360" w:lineRule="auto"/>
        <w:jc w:val="center"/>
        <w:rPr>
          <w:rFonts w:ascii="Times New Roman" w:hAnsi="Times New Roman" w:cs="Times New Roman"/>
          <w:b/>
          <w:i/>
          <w:sz w:val="28"/>
          <w:szCs w:val="28"/>
        </w:rPr>
      </w:pPr>
    </w:p>
    <w:p w14:paraId="7A9CFB6A" w14:textId="7A096D73" w:rsidR="009F5050" w:rsidRPr="00FA23DA" w:rsidRDefault="009F5050" w:rsidP="00FA23DA">
      <w:pPr>
        <w:pStyle w:val="ListParagraph"/>
        <w:spacing w:after="0" w:line="360" w:lineRule="auto"/>
        <w:ind w:hanging="720"/>
        <w:jc w:val="both"/>
        <w:rPr>
          <w:rFonts w:ascii="Times New Roman" w:hAnsi="Times New Roman" w:cs="Times New Roman"/>
          <w:sz w:val="28"/>
          <w:szCs w:val="28"/>
        </w:rPr>
      </w:pPr>
      <w:proofErr w:type="spellStart"/>
      <w:r w:rsidRPr="00FA23DA">
        <w:rPr>
          <w:rFonts w:ascii="Times New Roman" w:hAnsi="Times New Roman" w:cs="Times New Roman"/>
          <w:sz w:val="28"/>
          <w:szCs w:val="28"/>
        </w:rPr>
        <w:t>Антошкіна</w:t>
      </w:r>
      <w:proofErr w:type="spellEnd"/>
      <w:r w:rsidRPr="00FA23DA">
        <w:rPr>
          <w:rFonts w:ascii="Times New Roman" w:hAnsi="Times New Roman" w:cs="Times New Roman"/>
          <w:sz w:val="28"/>
          <w:szCs w:val="28"/>
        </w:rPr>
        <w:t xml:space="preserve">, В. "Особливості тлумачення в системі приватного права." </w:t>
      </w:r>
      <w:r w:rsidRPr="00FA23DA">
        <w:rPr>
          <w:rStyle w:val="Emphasis"/>
          <w:rFonts w:ascii="Times New Roman" w:hAnsi="Times New Roman" w:cs="Times New Roman"/>
          <w:sz w:val="28"/>
          <w:szCs w:val="28"/>
        </w:rPr>
        <w:t>Правова позиція</w:t>
      </w:r>
      <w:r w:rsidRPr="00FA23DA">
        <w:rPr>
          <w:rFonts w:ascii="Times New Roman" w:hAnsi="Times New Roman" w:cs="Times New Roman"/>
          <w:sz w:val="28"/>
          <w:szCs w:val="28"/>
        </w:rPr>
        <w:t>, № 3 (2020): 7</w:t>
      </w:r>
      <w:r w:rsidRPr="00FA23DA">
        <w:rPr>
          <w:rFonts w:ascii="Times New Roman" w:hAnsi="Times New Roman" w:cs="Times New Roman"/>
          <w:sz w:val="28"/>
          <w:szCs w:val="28"/>
        </w:rPr>
        <w:t>-</w:t>
      </w:r>
      <w:r w:rsidRPr="00FA23DA">
        <w:rPr>
          <w:rFonts w:ascii="Times New Roman" w:hAnsi="Times New Roman" w:cs="Times New Roman"/>
          <w:sz w:val="28"/>
          <w:szCs w:val="28"/>
        </w:rPr>
        <w:t xml:space="preserve">12. URL: </w:t>
      </w:r>
      <w:hyperlink r:id="rId9" w:tgtFrame="_new" w:history="1">
        <w:r w:rsidRPr="00FA23DA">
          <w:rPr>
            <w:rStyle w:val="Hyperlink"/>
            <w:rFonts w:ascii="Times New Roman" w:hAnsi="Times New Roman" w:cs="Times New Roman"/>
            <w:sz w:val="28"/>
            <w:szCs w:val="28"/>
          </w:rPr>
          <w:t>https://legalposition.umsf.in.ua/archive/2020/3/1.pdf</w:t>
        </w:r>
      </w:hyperlink>
      <w:r w:rsidRPr="00FA23DA">
        <w:rPr>
          <w:rFonts w:ascii="Times New Roman" w:hAnsi="Times New Roman" w:cs="Times New Roman"/>
          <w:sz w:val="28"/>
          <w:szCs w:val="28"/>
        </w:rPr>
        <w:t xml:space="preserve"> (дата звернення: 9 квітня 2025</w:t>
      </w:r>
      <w:r w:rsidRPr="00FA23DA">
        <w:rPr>
          <w:rFonts w:ascii="Times New Roman" w:hAnsi="Times New Roman" w:cs="Times New Roman"/>
          <w:sz w:val="28"/>
          <w:szCs w:val="28"/>
        </w:rPr>
        <w:t xml:space="preserve"> </w:t>
      </w:r>
      <w:r w:rsidRPr="00FA23DA">
        <w:rPr>
          <w:rFonts w:ascii="Times New Roman" w:hAnsi="Times New Roman" w:cs="Times New Roman"/>
          <w:sz w:val="28"/>
          <w:szCs w:val="28"/>
        </w:rPr>
        <w:t>р.)</w:t>
      </w:r>
      <w:r w:rsidRPr="00FA23DA">
        <w:rPr>
          <w:rFonts w:ascii="Times New Roman" w:hAnsi="Times New Roman" w:cs="Times New Roman"/>
          <w:sz w:val="28"/>
          <w:szCs w:val="28"/>
        </w:rPr>
        <w:t>.</w:t>
      </w:r>
    </w:p>
    <w:p w14:paraId="3842A2CD" w14:textId="77777777" w:rsidR="009F5050" w:rsidRPr="00FA23DA" w:rsidRDefault="009F5050" w:rsidP="00FA23DA">
      <w:pPr>
        <w:pStyle w:val="NormalWeb"/>
        <w:spacing w:line="360" w:lineRule="auto"/>
        <w:rPr>
          <w:sz w:val="28"/>
          <w:szCs w:val="28"/>
        </w:rPr>
      </w:pPr>
      <w:proofErr w:type="spellStart"/>
      <w:r w:rsidRPr="00FA23DA">
        <w:rPr>
          <w:sz w:val="28"/>
          <w:szCs w:val="28"/>
        </w:rPr>
        <w:t>Арістотель</w:t>
      </w:r>
      <w:proofErr w:type="spellEnd"/>
      <w:r w:rsidRPr="00FA23DA">
        <w:rPr>
          <w:sz w:val="28"/>
          <w:szCs w:val="28"/>
        </w:rPr>
        <w:t xml:space="preserve">. </w:t>
      </w:r>
      <w:r w:rsidRPr="00FA23DA">
        <w:rPr>
          <w:rStyle w:val="Emphasis"/>
          <w:sz w:val="28"/>
          <w:szCs w:val="28"/>
        </w:rPr>
        <w:t>Політика</w:t>
      </w:r>
      <w:r w:rsidRPr="00FA23DA">
        <w:rPr>
          <w:sz w:val="28"/>
          <w:szCs w:val="28"/>
        </w:rPr>
        <w:t xml:space="preserve">. Переклад з давньогрецької О. </w:t>
      </w:r>
      <w:proofErr w:type="spellStart"/>
      <w:r w:rsidRPr="00FA23DA">
        <w:rPr>
          <w:sz w:val="28"/>
          <w:szCs w:val="28"/>
        </w:rPr>
        <w:t>Кислюка</w:t>
      </w:r>
      <w:proofErr w:type="spellEnd"/>
      <w:r w:rsidRPr="00FA23DA">
        <w:rPr>
          <w:sz w:val="28"/>
          <w:szCs w:val="28"/>
        </w:rPr>
        <w:t>. Київ, 2000.</w:t>
      </w:r>
    </w:p>
    <w:p w14:paraId="6F6C60C5" w14:textId="77777777" w:rsidR="009F5050" w:rsidRPr="00FA23DA" w:rsidRDefault="009F5050" w:rsidP="00FA23DA">
      <w:pPr>
        <w:pStyle w:val="NormalWeb"/>
        <w:spacing w:line="360" w:lineRule="auto"/>
        <w:rPr>
          <w:sz w:val="28"/>
          <w:szCs w:val="28"/>
        </w:rPr>
      </w:pPr>
      <w:proofErr w:type="spellStart"/>
      <w:r w:rsidRPr="00FA23DA">
        <w:rPr>
          <w:sz w:val="28"/>
          <w:szCs w:val="28"/>
        </w:rPr>
        <w:t>Асмус</w:t>
      </w:r>
      <w:proofErr w:type="spellEnd"/>
      <w:r w:rsidRPr="00FA23DA">
        <w:rPr>
          <w:sz w:val="28"/>
          <w:szCs w:val="28"/>
        </w:rPr>
        <w:t xml:space="preserve">, В. Ф. </w:t>
      </w:r>
      <w:proofErr w:type="spellStart"/>
      <w:r w:rsidRPr="00FA23DA">
        <w:rPr>
          <w:rStyle w:val="Emphasis"/>
          <w:sz w:val="28"/>
          <w:szCs w:val="28"/>
        </w:rPr>
        <w:t>Логика</w:t>
      </w:r>
      <w:proofErr w:type="spellEnd"/>
      <w:r w:rsidRPr="00FA23DA">
        <w:rPr>
          <w:sz w:val="28"/>
          <w:szCs w:val="28"/>
        </w:rPr>
        <w:t>. Москва: Державне видавництво політичної літератури, 1947.</w:t>
      </w:r>
    </w:p>
    <w:p w14:paraId="2BC95EA7" w14:textId="77777777" w:rsidR="009F5050" w:rsidRPr="00FA23DA" w:rsidRDefault="009F5050" w:rsidP="00FA23DA">
      <w:pPr>
        <w:pStyle w:val="NormalWeb"/>
        <w:spacing w:line="360" w:lineRule="auto"/>
        <w:rPr>
          <w:sz w:val="28"/>
          <w:szCs w:val="28"/>
        </w:rPr>
      </w:pPr>
      <w:proofErr w:type="spellStart"/>
      <w:r w:rsidRPr="00FA23DA">
        <w:rPr>
          <w:sz w:val="28"/>
          <w:szCs w:val="28"/>
        </w:rPr>
        <w:t>Балинська</w:t>
      </w:r>
      <w:proofErr w:type="spellEnd"/>
      <w:r w:rsidRPr="00FA23DA">
        <w:rPr>
          <w:sz w:val="28"/>
          <w:szCs w:val="28"/>
        </w:rPr>
        <w:t xml:space="preserve">, О. М. </w:t>
      </w:r>
      <w:r w:rsidRPr="00FA23DA">
        <w:rPr>
          <w:rStyle w:val="Emphasis"/>
          <w:sz w:val="28"/>
          <w:szCs w:val="28"/>
        </w:rPr>
        <w:t>Проблеми тлумачення правових норм</w:t>
      </w:r>
      <w:r w:rsidRPr="00FA23DA">
        <w:rPr>
          <w:sz w:val="28"/>
          <w:szCs w:val="28"/>
        </w:rPr>
        <w:t>. Львів, 2021.</w:t>
      </w:r>
    </w:p>
    <w:p w14:paraId="6740F486" w14:textId="0B66E15D" w:rsidR="009F5050" w:rsidRPr="00FA23DA" w:rsidRDefault="009F5050" w:rsidP="00FA23DA">
      <w:pPr>
        <w:pStyle w:val="NormalWeb"/>
        <w:spacing w:line="360" w:lineRule="auto"/>
        <w:rPr>
          <w:sz w:val="28"/>
          <w:szCs w:val="28"/>
        </w:rPr>
      </w:pPr>
      <w:r w:rsidRPr="00FA23DA">
        <w:rPr>
          <w:sz w:val="28"/>
          <w:szCs w:val="28"/>
        </w:rPr>
        <w:lastRenderedPageBreak/>
        <w:t xml:space="preserve">Бондар, О. В. "Поняття і значення застосування аналогії в кримінальному судочинстві." </w:t>
      </w:r>
      <w:r w:rsidRPr="00FA23DA">
        <w:rPr>
          <w:rStyle w:val="Emphasis"/>
          <w:sz w:val="28"/>
          <w:szCs w:val="28"/>
        </w:rPr>
        <w:t>Актуальні проблеми вдосконалення чинного законодавства України</w:t>
      </w:r>
      <w:r w:rsidRPr="00FA23DA">
        <w:rPr>
          <w:sz w:val="28"/>
          <w:szCs w:val="28"/>
        </w:rPr>
        <w:t xml:space="preserve"> 21 (2009): 246–251. URL: </w:t>
      </w:r>
      <w:hyperlink r:id="rId10" w:tgtFrame="_new" w:history="1">
        <w:r w:rsidRPr="00FA23DA">
          <w:rPr>
            <w:rStyle w:val="Hyperlink"/>
            <w:sz w:val="28"/>
            <w:szCs w:val="28"/>
          </w:rPr>
          <w:t>http://nbuv.gov.ua/UJRN/apvchzu_2009_21_40</w:t>
        </w:r>
      </w:hyperlink>
      <w:r w:rsidRPr="00FA23DA">
        <w:rPr>
          <w:sz w:val="28"/>
          <w:szCs w:val="28"/>
        </w:rPr>
        <w:t xml:space="preserve"> (дата звернення: 9 квітня 2025</w:t>
      </w:r>
      <w:r w:rsidRPr="00FA23DA">
        <w:rPr>
          <w:sz w:val="28"/>
          <w:szCs w:val="28"/>
        </w:rPr>
        <w:t xml:space="preserve"> </w:t>
      </w:r>
      <w:r w:rsidRPr="00FA23DA">
        <w:rPr>
          <w:sz w:val="28"/>
          <w:szCs w:val="28"/>
        </w:rPr>
        <w:t>р.)</w:t>
      </w:r>
      <w:r w:rsidRPr="00FA23DA">
        <w:rPr>
          <w:sz w:val="28"/>
          <w:szCs w:val="28"/>
        </w:rPr>
        <w:t>.</w:t>
      </w:r>
    </w:p>
    <w:p w14:paraId="41F199F0" w14:textId="62B1EB57" w:rsidR="009F5050" w:rsidRPr="00FA23DA" w:rsidRDefault="009F5050" w:rsidP="00FA23DA">
      <w:pPr>
        <w:pStyle w:val="NormalWeb"/>
        <w:spacing w:line="360" w:lineRule="auto"/>
        <w:rPr>
          <w:sz w:val="28"/>
          <w:szCs w:val="28"/>
        </w:rPr>
      </w:pPr>
      <w:proofErr w:type="spellStart"/>
      <w:r w:rsidRPr="00FA23DA">
        <w:rPr>
          <w:sz w:val="28"/>
          <w:szCs w:val="28"/>
        </w:rPr>
        <w:t>Дручек</w:t>
      </w:r>
      <w:proofErr w:type="spellEnd"/>
      <w:r w:rsidRPr="00FA23DA">
        <w:rPr>
          <w:sz w:val="28"/>
          <w:szCs w:val="28"/>
        </w:rPr>
        <w:t>, О., Р. Зварич, і М. Новікова. "</w:t>
      </w:r>
      <w:proofErr w:type="spellStart"/>
      <w:r w:rsidRPr="00FA23DA">
        <w:rPr>
          <w:sz w:val="28"/>
          <w:szCs w:val="28"/>
        </w:rPr>
        <w:t>Романо</w:t>
      </w:r>
      <w:proofErr w:type="spellEnd"/>
      <w:r w:rsidRPr="00FA23DA">
        <w:rPr>
          <w:sz w:val="28"/>
          <w:szCs w:val="28"/>
        </w:rPr>
        <w:t xml:space="preserve">-германська та англосаксонська правові системи: історичні аспекти формування та основні характеристики." </w:t>
      </w:r>
      <w:r w:rsidRPr="00FA23DA">
        <w:rPr>
          <w:rStyle w:val="Emphasis"/>
          <w:sz w:val="28"/>
          <w:szCs w:val="28"/>
        </w:rPr>
        <w:t>Право та державне управління</w:t>
      </w:r>
      <w:r w:rsidRPr="00FA23DA">
        <w:rPr>
          <w:sz w:val="28"/>
          <w:szCs w:val="28"/>
        </w:rPr>
        <w:t xml:space="preserve"> 2 (2023): 405–414. URL: </w:t>
      </w:r>
      <w:hyperlink r:id="rId11" w:tgtFrame="_new" w:history="1">
        <w:r w:rsidRPr="00FA23DA">
          <w:rPr>
            <w:rStyle w:val="Hyperlink"/>
            <w:sz w:val="28"/>
            <w:szCs w:val="28"/>
          </w:rPr>
          <w:t>http://www.pdu-journal.kpu.zp.ua/archive/2_2023/59.pdf</w:t>
        </w:r>
      </w:hyperlink>
      <w:r w:rsidRPr="00FA23DA">
        <w:rPr>
          <w:sz w:val="28"/>
          <w:szCs w:val="28"/>
        </w:rPr>
        <w:t xml:space="preserve"> (дата звернення: 9 квітня 2025</w:t>
      </w:r>
      <w:r w:rsidRPr="00FA23DA">
        <w:rPr>
          <w:sz w:val="28"/>
          <w:szCs w:val="28"/>
        </w:rPr>
        <w:t xml:space="preserve"> </w:t>
      </w:r>
      <w:r w:rsidRPr="00FA23DA">
        <w:rPr>
          <w:sz w:val="28"/>
          <w:szCs w:val="28"/>
        </w:rPr>
        <w:t>р.)</w:t>
      </w:r>
      <w:r w:rsidRPr="00FA23DA">
        <w:rPr>
          <w:sz w:val="28"/>
          <w:szCs w:val="28"/>
        </w:rPr>
        <w:t>.</w:t>
      </w:r>
    </w:p>
    <w:p w14:paraId="6CAB5D2F" w14:textId="36B6684E" w:rsidR="009F5050" w:rsidRPr="00FA23DA" w:rsidRDefault="009F5050" w:rsidP="00FA23DA">
      <w:pPr>
        <w:pStyle w:val="NormalWeb"/>
        <w:spacing w:line="360" w:lineRule="auto"/>
        <w:rPr>
          <w:sz w:val="28"/>
          <w:szCs w:val="28"/>
        </w:rPr>
      </w:pPr>
      <w:proofErr w:type="spellStart"/>
      <w:r w:rsidRPr="00FA23DA">
        <w:rPr>
          <w:sz w:val="28"/>
          <w:szCs w:val="28"/>
        </w:rPr>
        <w:t>Дутко</w:t>
      </w:r>
      <w:proofErr w:type="spellEnd"/>
      <w:r w:rsidRPr="00FA23DA">
        <w:rPr>
          <w:sz w:val="28"/>
          <w:szCs w:val="28"/>
        </w:rPr>
        <w:t xml:space="preserve">, А. О. "Особливості юридичних конструкцій приватного права." </w:t>
      </w:r>
      <w:r w:rsidRPr="00FA23DA">
        <w:rPr>
          <w:rStyle w:val="Emphasis"/>
          <w:sz w:val="28"/>
          <w:szCs w:val="28"/>
        </w:rPr>
        <w:t>Вісник Національного університету «Львівська політехніка»</w:t>
      </w:r>
      <w:r w:rsidRPr="00FA23DA">
        <w:rPr>
          <w:sz w:val="28"/>
          <w:szCs w:val="28"/>
        </w:rPr>
        <w:t xml:space="preserve"> 825 (2015): 63–68. URL: </w:t>
      </w:r>
      <w:hyperlink r:id="rId12" w:tgtFrame="_new" w:history="1">
        <w:r w:rsidRPr="00FA23DA">
          <w:rPr>
            <w:rStyle w:val="Hyperlink"/>
            <w:sz w:val="28"/>
            <w:szCs w:val="28"/>
          </w:rPr>
          <w:t>http://nbuv.gov.ua/UJRN/vnulpurn_2015_825_13</w:t>
        </w:r>
      </w:hyperlink>
      <w:r w:rsidRPr="00FA23DA">
        <w:rPr>
          <w:sz w:val="28"/>
          <w:szCs w:val="28"/>
        </w:rPr>
        <w:t xml:space="preserve"> (дата звернення: 9 квітня 2025</w:t>
      </w:r>
      <w:r w:rsidRPr="00FA23DA">
        <w:rPr>
          <w:sz w:val="28"/>
          <w:szCs w:val="28"/>
        </w:rPr>
        <w:t xml:space="preserve"> </w:t>
      </w:r>
      <w:r w:rsidRPr="00FA23DA">
        <w:rPr>
          <w:sz w:val="28"/>
          <w:szCs w:val="28"/>
        </w:rPr>
        <w:t>р.)</w:t>
      </w:r>
      <w:r w:rsidRPr="00FA23DA">
        <w:rPr>
          <w:sz w:val="28"/>
          <w:szCs w:val="28"/>
        </w:rPr>
        <w:t>.</w:t>
      </w:r>
    </w:p>
    <w:p w14:paraId="0522BB7B" w14:textId="77777777" w:rsidR="009F5050" w:rsidRPr="00FA23DA" w:rsidRDefault="009F5050" w:rsidP="00FA23DA">
      <w:pPr>
        <w:pStyle w:val="NormalWeb"/>
        <w:spacing w:line="360" w:lineRule="auto"/>
        <w:rPr>
          <w:sz w:val="28"/>
          <w:szCs w:val="28"/>
        </w:rPr>
      </w:pPr>
      <w:proofErr w:type="spellStart"/>
      <w:r w:rsidRPr="00FA23DA">
        <w:rPr>
          <w:sz w:val="28"/>
          <w:szCs w:val="28"/>
        </w:rPr>
        <w:t>Загиней</w:t>
      </w:r>
      <w:proofErr w:type="spellEnd"/>
      <w:r w:rsidRPr="00FA23DA">
        <w:rPr>
          <w:sz w:val="28"/>
          <w:szCs w:val="28"/>
        </w:rPr>
        <w:t xml:space="preserve">, З. </w:t>
      </w:r>
      <w:r w:rsidRPr="00FA23DA">
        <w:rPr>
          <w:rStyle w:val="Emphasis"/>
          <w:sz w:val="28"/>
          <w:szCs w:val="28"/>
        </w:rPr>
        <w:t>Кримінально-правова герменевтика</w:t>
      </w:r>
      <w:r w:rsidRPr="00FA23DA">
        <w:rPr>
          <w:sz w:val="28"/>
          <w:szCs w:val="28"/>
        </w:rPr>
        <w:t>. Київ, 2015.</w:t>
      </w:r>
    </w:p>
    <w:p w14:paraId="207F0446" w14:textId="7BFD45B3" w:rsidR="009F5050" w:rsidRPr="00FA23DA" w:rsidRDefault="009F5050" w:rsidP="00FA23DA">
      <w:pPr>
        <w:pStyle w:val="NormalWeb"/>
        <w:spacing w:line="360" w:lineRule="auto"/>
        <w:rPr>
          <w:sz w:val="28"/>
          <w:szCs w:val="28"/>
        </w:rPr>
      </w:pPr>
      <w:r w:rsidRPr="00FA23DA">
        <w:rPr>
          <w:sz w:val="28"/>
          <w:szCs w:val="28"/>
        </w:rPr>
        <w:t xml:space="preserve">Звєрєв, Є. "Тлумачення міжнародних договорів національними судами: європейський досвід та українська практика." 2015. URL: </w:t>
      </w:r>
      <w:hyperlink r:id="rId13" w:tgtFrame="_new" w:history="1">
        <w:r w:rsidRPr="00FA23DA">
          <w:rPr>
            <w:rStyle w:val="Hyperlink"/>
            <w:sz w:val="28"/>
            <w:szCs w:val="28"/>
          </w:rPr>
          <w:t>http://ekmair.ukma.edu.ua/handle/123456789/5929</w:t>
        </w:r>
      </w:hyperlink>
      <w:r w:rsidRPr="00FA23DA">
        <w:rPr>
          <w:sz w:val="28"/>
          <w:szCs w:val="28"/>
        </w:rPr>
        <w:t xml:space="preserve"> (дата звернення: 9 квітня 2025 р.).</w:t>
      </w:r>
    </w:p>
    <w:p w14:paraId="43D3B9CF" w14:textId="3499E6F0" w:rsidR="009F5050" w:rsidRPr="00FA23DA" w:rsidRDefault="009F5050" w:rsidP="00FA23DA">
      <w:pPr>
        <w:pStyle w:val="NormalWeb"/>
        <w:spacing w:line="360" w:lineRule="auto"/>
        <w:rPr>
          <w:sz w:val="28"/>
          <w:szCs w:val="28"/>
        </w:rPr>
      </w:pPr>
      <w:r w:rsidRPr="00FA23DA">
        <w:rPr>
          <w:sz w:val="28"/>
          <w:szCs w:val="28"/>
        </w:rPr>
        <w:t xml:space="preserve">Іванчук, Н. В. "Історико-правові засади становлення та розвитку тлумачення норм права в юридичній науці." </w:t>
      </w:r>
      <w:r w:rsidRPr="00FA23DA">
        <w:rPr>
          <w:rStyle w:val="Emphasis"/>
          <w:sz w:val="28"/>
          <w:szCs w:val="28"/>
        </w:rPr>
        <w:t>Південноукраїнський правничий часопис</w:t>
      </w:r>
      <w:r w:rsidRPr="00FA23DA">
        <w:rPr>
          <w:sz w:val="28"/>
          <w:szCs w:val="28"/>
        </w:rPr>
        <w:t xml:space="preserve"> 1 (2013): 132–134. URL: </w:t>
      </w:r>
      <w:hyperlink r:id="rId14" w:tgtFrame="_new" w:history="1">
        <w:r w:rsidRPr="00FA23DA">
          <w:rPr>
            <w:rStyle w:val="Hyperlink"/>
            <w:sz w:val="28"/>
            <w:szCs w:val="28"/>
          </w:rPr>
          <w:t>http://nbuv.gov.ua/UJRN/Pupch_2013_1_44</w:t>
        </w:r>
      </w:hyperlink>
      <w:r w:rsidRPr="00FA23DA">
        <w:rPr>
          <w:sz w:val="28"/>
          <w:szCs w:val="28"/>
        </w:rPr>
        <w:t xml:space="preserve"> (дата звернення: 9 квітня 2025 р.).</w:t>
      </w:r>
    </w:p>
    <w:p w14:paraId="2C8C25DF" w14:textId="77777777" w:rsidR="009F5050" w:rsidRPr="00FA23DA" w:rsidRDefault="009F5050" w:rsidP="00FA23DA">
      <w:pPr>
        <w:pStyle w:val="NormalWeb"/>
        <w:spacing w:line="360" w:lineRule="auto"/>
        <w:rPr>
          <w:sz w:val="28"/>
          <w:szCs w:val="28"/>
        </w:rPr>
      </w:pPr>
      <w:r w:rsidRPr="00FA23DA">
        <w:rPr>
          <w:sz w:val="28"/>
          <w:szCs w:val="28"/>
        </w:rPr>
        <w:t xml:space="preserve">Карнаух, Т. М. "Проблеми застосування правової аналогії у цивільному судочинстві України." </w:t>
      </w:r>
      <w:r w:rsidRPr="00FA23DA">
        <w:rPr>
          <w:rStyle w:val="Emphasis"/>
          <w:sz w:val="28"/>
          <w:szCs w:val="28"/>
        </w:rPr>
        <w:t xml:space="preserve">Наукові записки </w:t>
      </w:r>
      <w:proofErr w:type="spellStart"/>
      <w:r w:rsidRPr="00FA23DA">
        <w:rPr>
          <w:rStyle w:val="Emphasis"/>
          <w:sz w:val="28"/>
          <w:szCs w:val="28"/>
        </w:rPr>
        <w:t>НаУКМА</w:t>
      </w:r>
      <w:proofErr w:type="spellEnd"/>
      <w:r w:rsidRPr="00FA23DA">
        <w:rPr>
          <w:sz w:val="28"/>
          <w:szCs w:val="28"/>
        </w:rPr>
        <w:t xml:space="preserve"> (2010): 106–109.</w:t>
      </w:r>
    </w:p>
    <w:p w14:paraId="1795B687" w14:textId="77777777" w:rsidR="009F5050" w:rsidRPr="00FA23DA" w:rsidRDefault="009F5050" w:rsidP="00FA23DA">
      <w:pPr>
        <w:pStyle w:val="NormalWeb"/>
        <w:spacing w:line="360" w:lineRule="auto"/>
        <w:rPr>
          <w:sz w:val="28"/>
          <w:szCs w:val="28"/>
        </w:rPr>
      </w:pPr>
      <w:proofErr w:type="spellStart"/>
      <w:r w:rsidRPr="00FA23DA">
        <w:rPr>
          <w:sz w:val="28"/>
          <w:szCs w:val="28"/>
        </w:rPr>
        <w:t>Козюбра</w:t>
      </w:r>
      <w:proofErr w:type="spellEnd"/>
      <w:r w:rsidRPr="00FA23DA">
        <w:rPr>
          <w:sz w:val="28"/>
          <w:szCs w:val="28"/>
        </w:rPr>
        <w:t xml:space="preserve">, М. І., </w:t>
      </w:r>
      <w:proofErr w:type="spellStart"/>
      <w:r w:rsidRPr="00FA23DA">
        <w:rPr>
          <w:sz w:val="28"/>
          <w:szCs w:val="28"/>
        </w:rPr>
        <w:t>заг</w:t>
      </w:r>
      <w:proofErr w:type="spellEnd"/>
      <w:r w:rsidRPr="00FA23DA">
        <w:rPr>
          <w:sz w:val="28"/>
          <w:szCs w:val="28"/>
        </w:rPr>
        <w:t xml:space="preserve">. ред. </w:t>
      </w:r>
      <w:r w:rsidRPr="00FA23DA">
        <w:rPr>
          <w:rStyle w:val="Emphasis"/>
          <w:sz w:val="28"/>
          <w:szCs w:val="28"/>
        </w:rPr>
        <w:t>Загальна теорія права</w:t>
      </w:r>
      <w:r w:rsidRPr="00FA23DA">
        <w:rPr>
          <w:sz w:val="28"/>
          <w:szCs w:val="28"/>
        </w:rPr>
        <w:t xml:space="preserve">. Київ: </w:t>
      </w:r>
      <w:proofErr w:type="spellStart"/>
      <w:r w:rsidRPr="00FA23DA">
        <w:rPr>
          <w:sz w:val="28"/>
          <w:szCs w:val="28"/>
        </w:rPr>
        <w:t>Ваіте</w:t>
      </w:r>
      <w:proofErr w:type="spellEnd"/>
      <w:r w:rsidRPr="00FA23DA">
        <w:rPr>
          <w:sz w:val="28"/>
          <w:szCs w:val="28"/>
        </w:rPr>
        <w:t>, 2015.</w:t>
      </w:r>
    </w:p>
    <w:p w14:paraId="65881CB4" w14:textId="0436638A" w:rsidR="009F5050" w:rsidRPr="00FA23DA" w:rsidRDefault="009F5050" w:rsidP="00FA23DA">
      <w:pPr>
        <w:pStyle w:val="NormalWeb"/>
        <w:spacing w:line="360" w:lineRule="auto"/>
        <w:rPr>
          <w:sz w:val="28"/>
          <w:szCs w:val="28"/>
        </w:rPr>
      </w:pPr>
      <w:proofErr w:type="spellStart"/>
      <w:r w:rsidRPr="00FA23DA">
        <w:rPr>
          <w:sz w:val="28"/>
          <w:szCs w:val="28"/>
        </w:rPr>
        <w:lastRenderedPageBreak/>
        <w:t>Малента</w:t>
      </w:r>
      <w:proofErr w:type="spellEnd"/>
      <w:r w:rsidRPr="00FA23DA">
        <w:rPr>
          <w:sz w:val="28"/>
          <w:szCs w:val="28"/>
        </w:rPr>
        <w:t xml:space="preserve">, В. С. "Історичні аспекти становлення тлумачення норм права." </w:t>
      </w:r>
      <w:r w:rsidRPr="00FA23DA">
        <w:rPr>
          <w:rStyle w:val="Emphasis"/>
          <w:sz w:val="28"/>
          <w:szCs w:val="28"/>
        </w:rPr>
        <w:t>Вісник Академії адвокатури України</w:t>
      </w:r>
      <w:r w:rsidRPr="00FA23DA">
        <w:rPr>
          <w:sz w:val="28"/>
          <w:szCs w:val="28"/>
        </w:rPr>
        <w:t xml:space="preserve"> 1 (2010): 18–21. URL: </w:t>
      </w:r>
      <w:hyperlink r:id="rId15" w:tgtFrame="_new" w:history="1">
        <w:r w:rsidRPr="00FA23DA">
          <w:rPr>
            <w:rStyle w:val="Hyperlink"/>
            <w:sz w:val="28"/>
            <w:szCs w:val="28"/>
          </w:rPr>
          <w:t>http://nbuv.gov.ua/UJRN/vaau_2010_1_5</w:t>
        </w:r>
      </w:hyperlink>
      <w:r w:rsidRPr="00FA23DA">
        <w:rPr>
          <w:sz w:val="28"/>
          <w:szCs w:val="28"/>
        </w:rPr>
        <w:t xml:space="preserve"> (дата звернення: 9 квітня 2025 р.).</w:t>
      </w:r>
    </w:p>
    <w:p w14:paraId="31C2000E" w14:textId="3E669F7B" w:rsidR="009F5050" w:rsidRPr="00FA23DA" w:rsidRDefault="009F5050" w:rsidP="00FA23DA">
      <w:pPr>
        <w:pStyle w:val="NormalWeb"/>
        <w:spacing w:line="360" w:lineRule="auto"/>
        <w:rPr>
          <w:sz w:val="28"/>
          <w:szCs w:val="28"/>
        </w:rPr>
      </w:pPr>
      <w:proofErr w:type="spellStart"/>
      <w:r w:rsidRPr="00FA23DA">
        <w:rPr>
          <w:sz w:val="28"/>
          <w:szCs w:val="28"/>
        </w:rPr>
        <w:t>Миколенко</w:t>
      </w:r>
      <w:proofErr w:type="spellEnd"/>
      <w:r w:rsidRPr="00FA23DA">
        <w:rPr>
          <w:sz w:val="28"/>
          <w:szCs w:val="28"/>
        </w:rPr>
        <w:t xml:space="preserve">, О. І. "Поділ національного права на публічне і приватне право та його теоретичне і практичне значення." </w:t>
      </w:r>
      <w:r w:rsidRPr="00FA23DA">
        <w:rPr>
          <w:rStyle w:val="Emphasis"/>
          <w:sz w:val="28"/>
          <w:szCs w:val="28"/>
        </w:rPr>
        <w:t>Правова держава</w:t>
      </w:r>
      <w:r w:rsidRPr="00FA23DA">
        <w:rPr>
          <w:sz w:val="28"/>
          <w:szCs w:val="28"/>
        </w:rPr>
        <w:t xml:space="preserve"> 23 (2016): 58–64. URL: </w:t>
      </w:r>
      <w:hyperlink r:id="rId16" w:tgtFrame="_new" w:history="1">
        <w:r w:rsidRPr="00FA23DA">
          <w:rPr>
            <w:rStyle w:val="Hyperlink"/>
            <w:sz w:val="28"/>
            <w:szCs w:val="28"/>
          </w:rPr>
          <w:t>http://nbuv.gov.ua/UJRN/Prav_2016_23_13</w:t>
        </w:r>
      </w:hyperlink>
      <w:r w:rsidRPr="00FA23DA">
        <w:rPr>
          <w:sz w:val="28"/>
          <w:szCs w:val="28"/>
        </w:rPr>
        <w:t xml:space="preserve"> (дата звернення: 9 квітня 2025 р.).</w:t>
      </w:r>
    </w:p>
    <w:p w14:paraId="7A88EAAE" w14:textId="7CF027AD" w:rsidR="009F5050" w:rsidRPr="00FA23DA" w:rsidRDefault="009F5050" w:rsidP="00FA23DA">
      <w:pPr>
        <w:pStyle w:val="NormalWeb"/>
        <w:spacing w:line="360" w:lineRule="auto"/>
        <w:rPr>
          <w:sz w:val="28"/>
          <w:szCs w:val="28"/>
        </w:rPr>
      </w:pPr>
      <w:proofErr w:type="spellStart"/>
      <w:r w:rsidRPr="00FA23DA">
        <w:rPr>
          <w:sz w:val="28"/>
          <w:szCs w:val="28"/>
        </w:rPr>
        <w:t>Хилюк</w:t>
      </w:r>
      <w:proofErr w:type="spellEnd"/>
      <w:r w:rsidRPr="00FA23DA">
        <w:rPr>
          <w:sz w:val="28"/>
          <w:szCs w:val="28"/>
        </w:rPr>
        <w:t>, С. В. "</w:t>
      </w:r>
      <w:proofErr w:type="spellStart"/>
      <w:r w:rsidRPr="00FA23DA">
        <w:rPr>
          <w:sz w:val="28"/>
          <w:szCs w:val="28"/>
        </w:rPr>
        <w:t>Lex</w:t>
      </w:r>
      <w:proofErr w:type="spellEnd"/>
      <w:r w:rsidRPr="00FA23DA">
        <w:rPr>
          <w:sz w:val="28"/>
          <w:szCs w:val="28"/>
        </w:rPr>
        <w:t xml:space="preserve"> </w:t>
      </w:r>
      <w:proofErr w:type="spellStart"/>
      <w:r w:rsidRPr="00FA23DA">
        <w:rPr>
          <w:sz w:val="28"/>
          <w:szCs w:val="28"/>
        </w:rPr>
        <w:t>stricta</w:t>
      </w:r>
      <w:proofErr w:type="spellEnd"/>
      <w:r w:rsidRPr="00FA23DA">
        <w:rPr>
          <w:sz w:val="28"/>
          <w:szCs w:val="28"/>
        </w:rPr>
        <w:t xml:space="preserve"> як складова принципу законності у кримінальному праві в інтерпретації Європейського суду з прав людини." </w:t>
      </w:r>
      <w:r w:rsidRPr="00FA23DA">
        <w:rPr>
          <w:rStyle w:val="Emphasis"/>
          <w:sz w:val="28"/>
          <w:szCs w:val="28"/>
        </w:rPr>
        <w:t>Часопис Академії адвокатури України</w:t>
      </w:r>
      <w:r w:rsidRPr="00FA23DA">
        <w:rPr>
          <w:sz w:val="28"/>
          <w:szCs w:val="28"/>
        </w:rPr>
        <w:t xml:space="preserve"> 7, № 3 (2014): 92–103. URL: </w:t>
      </w:r>
      <w:hyperlink r:id="rId17" w:tgtFrame="_new" w:history="1">
        <w:r w:rsidRPr="00FA23DA">
          <w:rPr>
            <w:rStyle w:val="Hyperlink"/>
            <w:sz w:val="28"/>
            <w:szCs w:val="28"/>
          </w:rPr>
          <w:t>http://nbuv.gov.ua/UJRN/Chaau_2014_7_3_13</w:t>
        </w:r>
      </w:hyperlink>
      <w:r w:rsidRPr="00FA23DA">
        <w:rPr>
          <w:sz w:val="28"/>
          <w:szCs w:val="28"/>
        </w:rPr>
        <w:t xml:space="preserve"> (дата звернення: 9 квітня 2025 р.).</w:t>
      </w:r>
    </w:p>
    <w:p w14:paraId="71A00DFE" w14:textId="77777777" w:rsidR="009F5050" w:rsidRPr="00FA23DA" w:rsidRDefault="009F5050" w:rsidP="00FA23DA">
      <w:pPr>
        <w:pStyle w:val="NormalWeb"/>
        <w:spacing w:line="360" w:lineRule="auto"/>
        <w:rPr>
          <w:sz w:val="28"/>
          <w:szCs w:val="28"/>
        </w:rPr>
      </w:pPr>
      <w:proofErr w:type="spellStart"/>
      <w:r w:rsidRPr="00FA23DA">
        <w:rPr>
          <w:sz w:val="28"/>
          <w:szCs w:val="28"/>
        </w:rPr>
        <w:t>Bruns</w:t>
      </w:r>
      <w:proofErr w:type="spellEnd"/>
      <w:r w:rsidRPr="00FA23DA">
        <w:rPr>
          <w:sz w:val="28"/>
          <w:szCs w:val="28"/>
        </w:rPr>
        <w:t xml:space="preserve">, G. L. </w:t>
      </w:r>
      <w:proofErr w:type="spellStart"/>
      <w:r w:rsidRPr="00FA23DA">
        <w:rPr>
          <w:rStyle w:val="Emphasis"/>
          <w:sz w:val="28"/>
          <w:szCs w:val="28"/>
        </w:rPr>
        <w:t>Law</w:t>
      </w:r>
      <w:proofErr w:type="spellEnd"/>
      <w:r w:rsidRPr="00FA23DA">
        <w:rPr>
          <w:rStyle w:val="Emphasis"/>
          <w:sz w:val="28"/>
          <w:szCs w:val="28"/>
        </w:rPr>
        <w:t xml:space="preserve"> </w:t>
      </w:r>
      <w:proofErr w:type="spellStart"/>
      <w:r w:rsidRPr="00FA23DA">
        <w:rPr>
          <w:rStyle w:val="Emphasis"/>
          <w:sz w:val="28"/>
          <w:szCs w:val="28"/>
        </w:rPr>
        <w:t>and</w:t>
      </w:r>
      <w:proofErr w:type="spellEnd"/>
      <w:r w:rsidRPr="00FA23DA">
        <w:rPr>
          <w:rStyle w:val="Emphasis"/>
          <w:sz w:val="28"/>
          <w:szCs w:val="28"/>
        </w:rPr>
        <w:t xml:space="preserve"> </w:t>
      </w:r>
      <w:proofErr w:type="spellStart"/>
      <w:r w:rsidRPr="00FA23DA">
        <w:rPr>
          <w:rStyle w:val="Emphasis"/>
          <w:sz w:val="28"/>
          <w:szCs w:val="28"/>
        </w:rPr>
        <w:t>Language</w:t>
      </w:r>
      <w:proofErr w:type="spellEnd"/>
      <w:r w:rsidRPr="00FA23DA">
        <w:rPr>
          <w:rStyle w:val="Emphasis"/>
          <w:sz w:val="28"/>
          <w:szCs w:val="28"/>
        </w:rPr>
        <w:t xml:space="preserve">: </w:t>
      </w:r>
      <w:proofErr w:type="spellStart"/>
      <w:r w:rsidRPr="00FA23DA">
        <w:rPr>
          <w:rStyle w:val="Emphasis"/>
          <w:sz w:val="28"/>
          <w:szCs w:val="28"/>
        </w:rPr>
        <w:t>Hermeneutics</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the</w:t>
      </w:r>
      <w:proofErr w:type="spellEnd"/>
      <w:r w:rsidRPr="00FA23DA">
        <w:rPr>
          <w:rStyle w:val="Emphasis"/>
          <w:sz w:val="28"/>
          <w:szCs w:val="28"/>
        </w:rPr>
        <w:t xml:space="preserve"> </w:t>
      </w:r>
      <w:proofErr w:type="spellStart"/>
      <w:r w:rsidRPr="00FA23DA">
        <w:rPr>
          <w:rStyle w:val="Emphasis"/>
          <w:sz w:val="28"/>
          <w:szCs w:val="28"/>
        </w:rPr>
        <w:t>Legal</w:t>
      </w:r>
      <w:proofErr w:type="spellEnd"/>
      <w:r w:rsidRPr="00FA23DA">
        <w:rPr>
          <w:rStyle w:val="Emphasis"/>
          <w:sz w:val="28"/>
          <w:szCs w:val="28"/>
        </w:rPr>
        <w:t xml:space="preserve"> </w:t>
      </w:r>
      <w:proofErr w:type="spellStart"/>
      <w:r w:rsidRPr="00FA23DA">
        <w:rPr>
          <w:rStyle w:val="Emphasis"/>
          <w:sz w:val="28"/>
          <w:szCs w:val="28"/>
        </w:rPr>
        <w:t>Text</w:t>
      </w:r>
      <w:proofErr w:type="spellEnd"/>
      <w:r w:rsidRPr="00FA23DA">
        <w:rPr>
          <w:sz w:val="28"/>
          <w:szCs w:val="28"/>
        </w:rPr>
        <w:t xml:space="preserve">. </w:t>
      </w:r>
      <w:proofErr w:type="spellStart"/>
      <w:r w:rsidRPr="00FA23DA">
        <w:rPr>
          <w:sz w:val="28"/>
          <w:szCs w:val="28"/>
        </w:rPr>
        <w:t>Berkeley</w:t>
      </w:r>
      <w:proofErr w:type="spellEnd"/>
      <w:r w:rsidRPr="00FA23DA">
        <w:rPr>
          <w:sz w:val="28"/>
          <w:szCs w:val="28"/>
        </w:rPr>
        <w:t xml:space="preserve">: </w:t>
      </w:r>
      <w:proofErr w:type="spellStart"/>
      <w:r w:rsidRPr="00FA23DA">
        <w:rPr>
          <w:sz w:val="28"/>
          <w:szCs w:val="28"/>
        </w:rPr>
        <w:t>University</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California</w:t>
      </w:r>
      <w:proofErr w:type="spellEnd"/>
      <w:r w:rsidRPr="00FA23DA">
        <w:rPr>
          <w:sz w:val="28"/>
          <w:szCs w:val="28"/>
        </w:rPr>
        <w:t xml:space="preserve"> </w:t>
      </w:r>
      <w:proofErr w:type="spellStart"/>
      <w:r w:rsidRPr="00FA23DA">
        <w:rPr>
          <w:sz w:val="28"/>
          <w:szCs w:val="28"/>
        </w:rPr>
        <w:t>Press</w:t>
      </w:r>
      <w:proofErr w:type="spellEnd"/>
      <w:r w:rsidRPr="00FA23DA">
        <w:rPr>
          <w:sz w:val="28"/>
          <w:szCs w:val="28"/>
        </w:rPr>
        <w:t>, 1992.</w:t>
      </w:r>
    </w:p>
    <w:p w14:paraId="2445C1FC" w14:textId="3E3F4E9B" w:rsidR="009F5050" w:rsidRPr="00FA23DA" w:rsidRDefault="009F5050" w:rsidP="00FA23DA">
      <w:pPr>
        <w:pStyle w:val="NormalWeb"/>
        <w:spacing w:line="360" w:lineRule="auto"/>
        <w:rPr>
          <w:sz w:val="28"/>
          <w:szCs w:val="28"/>
        </w:rPr>
      </w:pPr>
      <w:r w:rsidRPr="00FA23DA">
        <w:rPr>
          <w:rStyle w:val="Emphasis"/>
          <w:sz w:val="28"/>
          <w:szCs w:val="28"/>
        </w:rPr>
        <w:t xml:space="preserve">C.R. v. </w:t>
      </w:r>
      <w:proofErr w:type="spellStart"/>
      <w:r w:rsidRPr="00FA23DA">
        <w:rPr>
          <w:rStyle w:val="Emphasis"/>
          <w:sz w:val="28"/>
          <w:szCs w:val="28"/>
        </w:rPr>
        <w:t>the</w:t>
      </w:r>
      <w:proofErr w:type="spellEnd"/>
      <w:r w:rsidRPr="00FA23DA">
        <w:rPr>
          <w:rStyle w:val="Emphasis"/>
          <w:sz w:val="28"/>
          <w:szCs w:val="28"/>
        </w:rPr>
        <w:t xml:space="preserve"> </w:t>
      </w:r>
      <w:proofErr w:type="spellStart"/>
      <w:r w:rsidRPr="00FA23DA">
        <w:rPr>
          <w:rStyle w:val="Emphasis"/>
          <w:sz w:val="28"/>
          <w:szCs w:val="28"/>
        </w:rPr>
        <w:t>United</w:t>
      </w:r>
      <w:proofErr w:type="spellEnd"/>
      <w:r w:rsidRPr="00FA23DA">
        <w:rPr>
          <w:rStyle w:val="Emphasis"/>
          <w:sz w:val="28"/>
          <w:szCs w:val="28"/>
        </w:rPr>
        <w:t xml:space="preserve"> </w:t>
      </w:r>
      <w:proofErr w:type="spellStart"/>
      <w:r w:rsidRPr="00FA23DA">
        <w:rPr>
          <w:rStyle w:val="Emphasis"/>
          <w:sz w:val="28"/>
          <w:szCs w:val="28"/>
        </w:rPr>
        <w:t>Kingdom</w:t>
      </w:r>
      <w:proofErr w:type="spellEnd"/>
      <w:r w:rsidRPr="00FA23DA">
        <w:rPr>
          <w:sz w:val="28"/>
          <w:szCs w:val="28"/>
        </w:rPr>
        <w:t xml:space="preserve">, </w:t>
      </w:r>
      <w:proofErr w:type="spellStart"/>
      <w:r w:rsidRPr="00FA23DA">
        <w:rPr>
          <w:sz w:val="28"/>
          <w:szCs w:val="28"/>
        </w:rPr>
        <w:t>no</w:t>
      </w:r>
      <w:proofErr w:type="spellEnd"/>
      <w:r w:rsidRPr="00FA23DA">
        <w:rPr>
          <w:sz w:val="28"/>
          <w:szCs w:val="28"/>
        </w:rPr>
        <w:t xml:space="preserve">. 20190/92, </w:t>
      </w:r>
      <w:proofErr w:type="spellStart"/>
      <w:r w:rsidRPr="00FA23DA">
        <w:rPr>
          <w:sz w:val="28"/>
          <w:szCs w:val="28"/>
        </w:rPr>
        <w:t>European</w:t>
      </w:r>
      <w:proofErr w:type="spellEnd"/>
      <w:r w:rsidRPr="00FA23DA">
        <w:rPr>
          <w:sz w:val="28"/>
          <w:szCs w:val="28"/>
        </w:rPr>
        <w:t xml:space="preserve"> </w:t>
      </w:r>
      <w:proofErr w:type="spellStart"/>
      <w:r w:rsidRPr="00FA23DA">
        <w:rPr>
          <w:sz w:val="28"/>
          <w:szCs w:val="28"/>
        </w:rPr>
        <w:t>Court</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Human</w:t>
      </w:r>
      <w:proofErr w:type="spellEnd"/>
      <w:r w:rsidRPr="00FA23DA">
        <w:rPr>
          <w:sz w:val="28"/>
          <w:szCs w:val="28"/>
        </w:rPr>
        <w:t xml:space="preserve"> </w:t>
      </w:r>
      <w:proofErr w:type="spellStart"/>
      <w:r w:rsidRPr="00FA23DA">
        <w:rPr>
          <w:sz w:val="28"/>
          <w:szCs w:val="28"/>
        </w:rPr>
        <w:t>Rights</w:t>
      </w:r>
      <w:proofErr w:type="spellEnd"/>
      <w:r w:rsidRPr="00FA23DA">
        <w:rPr>
          <w:sz w:val="28"/>
          <w:szCs w:val="28"/>
        </w:rPr>
        <w:t xml:space="preserve">, 1995. URL: </w:t>
      </w:r>
      <w:hyperlink r:id="rId18" w:anchor="%7B%22itemid%22:%5B%22001-57955%22%5D%7D" w:tgtFrame="_new" w:history="1">
        <w:r w:rsidRPr="00FA23DA">
          <w:rPr>
            <w:rStyle w:val="Hyperlink"/>
            <w:sz w:val="28"/>
            <w:szCs w:val="28"/>
          </w:rPr>
          <w:t>https://hudoc.echr.coe.int/eng#{%22itemid%22:[%22001-57955%22]}</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r w:rsidRPr="00FA23DA">
        <w:rPr>
          <w:sz w:val="28"/>
          <w:szCs w:val="28"/>
          <w:lang w:val="en-US"/>
        </w:rPr>
        <w:t>April</w:t>
      </w:r>
      <w:r w:rsidRPr="00FA23DA">
        <w:rPr>
          <w:sz w:val="28"/>
          <w:szCs w:val="28"/>
        </w:rPr>
        <w:t xml:space="preserve"> </w:t>
      </w:r>
      <w:r w:rsidRPr="00FA23DA">
        <w:rPr>
          <w:sz w:val="28"/>
          <w:szCs w:val="28"/>
          <w:lang w:val="en-US"/>
        </w:rPr>
        <w:t>9</w:t>
      </w:r>
      <w:r w:rsidRPr="00FA23DA">
        <w:rPr>
          <w:sz w:val="28"/>
          <w:szCs w:val="28"/>
        </w:rPr>
        <w:t>, 2025).</w:t>
      </w:r>
    </w:p>
    <w:p w14:paraId="232FAC00" w14:textId="4F81B3CC" w:rsidR="009F5050" w:rsidRPr="00FA23DA" w:rsidRDefault="009F5050" w:rsidP="00FA23DA">
      <w:pPr>
        <w:pStyle w:val="NormalWeb"/>
        <w:spacing w:line="360" w:lineRule="auto"/>
        <w:rPr>
          <w:sz w:val="28"/>
          <w:szCs w:val="28"/>
        </w:rPr>
      </w:pPr>
      <w:proofErr w:type="spellStart"/>
      <w:r w:rsidRPr="00FA23DA">
        <w:rPr>
          <w:sz w:val="28"/>
          <w:szCs w:val="28"/>
        </w:rPr>
        <w:t>Canale</w:t>
      </w:r>
      <w:proofErr w:type="spellEnd"/>
      <w:r w:rsidRPr="00FA23DA">
        <w:rPr>
          <w:sz w:val="28"/>
          <w:szCs w:val="28"/>
        </w:rPr>
        <w:t xml:space="preserve">, D., </w:t>
      </w:r>
      <w:proofErr w:type="spellStart"/>
      <w:r w:rsidRPr="00FA23DA">
        <w:rPr>
          <w:sz w:val="28"/>
          <w:szCs w:val="28"/>
        </w:rPr>
        <w:t>and</w:t>
      </w:r>
      <w:proofErr w:type="spellEnd"/>
      <w:r w:rsidRPr="00FA23DA">
        <w:rPr>
          <w:sz w:val="28"/>
          <w:szCs w:val="28"/>
        </w:rPr>
        <w:t xml:space="preserve"> G. </w:t>
      </w:r>
      <w:proofErr w:type="spellStart"/>
      <w:r w:rsidRPr="00FA23DA">
        <w:rPr>
          <w:sz w:val="28"/>
          <w:szCs w:val="28"/>
        </w:rPr>
        <w:t>Tuzet</w:t>
      </w:r>
      <w:proofErr w:type="spellEnd"/>
      <w:r w:rsidRPr="00FA23DA">
        <w:rPr>
          <w:sz w:val="28"/>
          <w:szCs w:val="28"/>
        </w:rPr>
        <w:t>. "</w:t>
      </w:r>
      <w:proofErr w:type="spellStart"/>
      <w:r w:rsidRPr="00FA23DA">
        <w:rPr>
          <w:sz w:val="28"/>
          <w:szCs w:val="28"/>
        </w:rPr>
        <w:t>Analogical</w:t>
      </w:r>
      <w:proofErr w:type="spellEnd"/>
      <w:r w:rsidRPr="00FA23DA">
        <w:rPr>
          <w:sz w:val="28"/>
          <w:szCs w:val="28"/>
        </w:rPr>
        <w:t xml:space="preserve"> </w:t>
      </w:r>
      <w:proofErr w:type="spellStart"/>
      <w:r w:rsidRPr="00FA23DA">
        <w:rPr>
          <w:sz w:val="28"/>
          <w:szCs w:val="28"/>
        </w:rPr>
        <w:t>Reasoning</w:t>
      </w:r>
      <w:proofErr w:type="spellEnd"/>
      <w:r w:rsidRPr="00FA23DA">
        <w:rPr>
          <w:sz w:val="28"/>
          <w:szCs w:val="28"/>
        </w:rPr>
        <w:t xml:space="preserve"> </w:t>
      </w:r>
      <w:proofErr w:type="spellStart"/>
      <w:r w:rsidRPr="00FA23DA">
        <w:rPr>
          <w:sz w:val="28"/>
          <w:szCs w:val="28"/>
        </w:rPr>
        <w:t>and</w:t>
      </w:r>
      <w:proofErr w:type="spellEnd"/>
      <w:r w:rsidRPr="00FA23DA">
        <w:rPr>
          <w:sz w:val="28"/>
          <w:szCs w:val="28"/>
        </w:rPr>
        <w:t xml:space="preserve"> </w:t>
      </w:r>
      <w:proofErr w:type="spellStart"/>
      <w:r w:rsidRPr="00FA23DA">
        <w:rPr>
          <w:sz w:val="28"/>
          <w:szCs w:val="28"/>
        </w:rPr>
        <w:t>Extensive</w:t>
      </w:r>
      <w:proofErr w:type="spellEnd"/>
      <w:r w:rsidRPr="00FA23DA">
        <w:rPr>
          <w:sz w:val="28"/>
          <w:szCs w:val="28"/>
        </w:rPr>
        <w:t xml:space="preserve"> </w:t>
      </w:r>
      <w:proofErr w:type="spellStart"/>
      <w:r w:rsidRPr="00FA23DA">
        <w:rPr>
          <w:sz w:val="28"/>
          <w:szCs w:val="28"/>
        </w:rPr>
        <w:t>Interpretation</w:t>
      </w:r>
      <w:proofErr w:type="spellEnd"/>
      <w:r w:rsidRPr="00FA23DA">
        <w:rPr>
          <w:sz w:val="28"/>
          <w:szCs w:val="28"/>
        </w:rPr>
        <w:t xml:space="preserve">." </w:t>
      </w:r>
      <w:proofErr w:type="spellStart"/>
      <w:r w:rsidRPr="00FA23DA">
        <w:rPr>
          <w:sz w:val="28"/>
          <w:szCs w:val="28"/>
        </w:rPr>
        <w:t>In</w:t>
      </w:r>
      <w:proofErr w:type="spellEnd"/>
      <w:r w:rsidRPr="00FA23DA">
        <w:rPr>
          <w:sz w:val="28"/>
          <w:szCs w:val="28"/>
        </w:rPr>
        <w:t xml:space="preserve"> </w:t>
      </w:r>
      <w:proofErr w:type="spellStart"/>
      <w:r w:rsidRPr="00FA23DA">
        <w:rPr>
          <w:rStyle w:val="Emphasis"/>
          <w:sz w:val="28"/>
          <w:szCs w:val="28"/>
        </w:rPr>
        <w:t>Law</w:t>
      </w:r>
      <w:proofErr w:type="spellEnd"/>
      <w:r w:rsidRPr="00FA23DA">
        <w:rPr>
          <w:rStyle w:val="Emphasis"/>
          <w:sz w:val="28"/>
          <w:szCs w:val="28"/>
        </w:rPr>
        <w:t xml:space="preserve"> </w:t>
      </w:r>
      <w:proofErr w:type="spellStart"/>
      <w:r w:rsidRPr="00FA23DA">
        <w:rPr>
          <w:rStyle w:val="Emphasis"/>
          <w:sz w:val="28"/>
          <w:szCs w:val="28"/>
        </w:rPr>
        <w:t>and</w:t>
      </w:r>
      <w:proofErr w:type="spellEnd"/>
      <w:r w:rsidRPr="00FA23DA">
        <w:rPr>
          <w:rStyle w:val="Emphasis"/>
          <w:sz w:val="28"/>
          <w:szCs w:val="28"/>
        </w:rPr>
        <w:t xml:space="preserve"> </w:t>
      </w:r>
      <w:proofErr w:type="spellStart"/>
      <w:r w:rsidRPr="00FA23DA">
        <w:rPr>
          <w:rStyle w:val="Emphasis"/>
          <w:sz w:val="28"/>
          <w:szCs w:val="28"/>
        </w:rPr>
        <w:t>Interpretation</w:t>
      </w:r>
      <w:proofErr w:type="spellEnd"/>
      <w:r w:rsidRPr="00FA23DA">
        <w:rPr>
          <w:sz w:val="28"/>
          <w:szCs w:val="28"/>
        </w:rPr>
        <w:t xml:space="preserve">, 65–86. </w:t>
      </w:r>
      <w:proofErr w:type="spellStart"/>
      <w:r w:rsidRPr="00FA23DA">
        <w:rPr>
          <w:sz w:val="28"/>
          <w:szCs w:val="28"/>
        </w:rPr>
        <w:t>Amsterdam</w:t>
      </w:r>
      <w:proofErr w:type="spellEnd"/>
      <w:r w:rsidRPr="00FA23DA">
        <w:rPr>
          <w:sz w:val="28"/>
          <w:szCs w:val="28"/>
        </w:rPr>
        <w:t xml:space="preserve">: </w:t>
      </w:r>
      <w:proofErr w:type="spellStart"/>
      <w:r w:rsidRPr="00FA23DA">
        <w:rPr>
          <w:sz w:val="28"/>
          <w:szCs w:val="28"/>
        </w:rPr>
        <w:t>Amsterdam</w:t>
      </w:r>
      <w:proofErr w:type="spellEnd"/>
      <w:r w:rsidRPr="00FA23DA">
        <w:rPr>
          <w:sz w:val="28"/>
          <w:szCs w:val="28"/>
        </w:rPr>
        <w:t xml:space="preserve"> </w:t>
      </w:r>
      <w:proofErr w:type="spellStart"/>
      <w:r w:rsidRPr="00FA23DA">
        <w:rPr>
          <w:sz w:val="28"/>
          <w:szCs w:val="28"/>
        </w:rPr>
        <w:t>University</w:t>
      </w:r>
      <w:proofErr w:type="spellEnd"/>
      <w:r w:rsidRPr="00FA23DA">
        <w:rPr>
          <w:sz w:val="28"/>
          <w:szCs w:val="28"/>
        </w:rPr>
        <w:t xml:space="preserve"> </w:t>
      </w:r>
      <w:proofErr w:type="spellStart"/>
      <w:r w:rsidRPr="00FA23DA">
        <w:rPr>
          <w:sz w:val="28"/>
          <w:szCs w:val="28"/>
        </w:rPr>
        <w:t>Press</w:t>
      </w:r>
      <w:proofErr w:type="spellEnd"/>
      <w:r w:rsidRPr="00FA23DA">
        <w:rPr>
          <w:sz w:val="28"/>
          <w:szCs w:val="28"/>
        </w:rPr>
        <w:t xml:space="preserve">, 2018. URL: </w:t>
      </w:r>
      <w:hyperlink r:id="rId19" w:tgtFrame="_new" w:history="1">
        <w:r w:rsidRPr="00FA23DA">
          <w:rPr>
            <w:rStyle w:val="Hyperlink"/>
            <w:sz w:val="28"/>
            <w:szCs w:val="28"/>
          </w:rPr>
          <w:t>https://www.degruyter.com/document/doi/10.1515/9789048537143-005/html?lang=en</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r w:rsidRPr="00FA23DA">
        <w:rPr>
          <w:sz w:val="28"/>
          <w:szCs w:val="28"/>
          <w:lang w:val="en-US"/>
        </w:rPr>
        <w:t>April</w:t>
      </w:r>
      <w:r w:rsidRPr="00FA23DA">
        <w:rPr>
          <w:sz w:val="28"/>
          <w:szCs w:val="28"/>
        </w:rPr>
        <w:t xml:space="preserve"> </w:t>
      </w:r>
      <w:r w:rsidRPr="00FA23DA">
        <w:rPr>
          <w:sz w:val="28"/>
          <w:szCs w:val="28"/>
          <w:lang w:val="en-US"/>
        </w:rPr>
        <w:t>9</w:t>
      </w:r>
      <w:r w:rsidRPr="00FA23DA">
        <w:rPr>
          <w:sz w:val="28"/>
          <w:szCs w:val="28"/>
        </w:rPr>
        <w:t>, 2025).</w:t>
      </w:r>
    </w:p>
    <w:p w14:paraId="76E65277" w14:textId="292B8B0D" w:rsidR="009F5050" w:rsidRPr="00FA23DA" w:rsidRDefault="009F5050" w:rsidP="00FA23DA">
      <w:pPr>
        <w:pStyle w:val="NormalWeb"/>
        <w:spacing w:line="360" w:lineRule="auto"/>
        <w:rPr>
          <w:sz w:val="28"/>
          <w:szCs w:val="28"/>
        </w:rPr>
      </w:pPr>
      <w:proofErr w:type="spellStart"/>
      <w:r w:rsidRPr="00FA23DA">
        <w:rPr>
          <w:rStyle w:val="Emphasis"/>
          <w:sz w:val="28"/>
          <w:szCs w:val="28"/>
        </w:rPr>
        <w:t>Code</w:t>
      </w:r>
      <w:proofErr w:type="spellEnd"/>
      <w:r w:rsidRPr="00FA23DA">
        <w:rPr>
          <w:rStyle w:val="Emphasis"/>
          <w:sz w:val="28"/>
          <w:szCs w:val="28"/>
        </w:rPr>
        <w:t xml:space="preserve"> </w:t>
      </w:r>
      <w:proofErr w:type="spellStart"/>
      <w:r w:rsidRPr="00FA23DA">
        <w:rPr>
          <w:rStyle w:val="Emphasis"/>
          <w:sz w:val="28"/>
          <w:szCs w:val="28"/>
        </w:rPr>
        <w:t>civil</w:t>
      </w:r>
      <w:proofErr w:type="spellEnd"/>
      <w:r w:rsidRPr="00FA23DA">
        <w:rPr>
          <w:rStyle w:val="Emphasis"/>
          <w:sz w:val="28"/>
          <w:szCs w:val="28"/>
        </w:rPr>
        <w:t xml:space="preserve"> </w:t>
      </w:r>
      <w:proofErr w:type="spellStart"/>
      <w:r w:rsidRPr="00FA23DA">
        <w:rPr>
          <w:rStyle w:val="Emphasis"/>
          <w:sz w:val="28"/>
          <w:szCs w:val="28"/>
        </w:rPr>
        <w:t>des</w:t>
      </w:r>
      <w:proofErr w:type="spellEnd"/>
      <w:r w:rsidRPr="00FA23DA">
        <w:rPr>
          <w:rStyle w:val="Emphasis"/>
          <w:sz w:val="28"/>
          <w:szCs w:val="28"/>
        </w:rPr>
        <w:t xml:space="preserve"> </w:t>
      </w:r>
      <w:proofErr w:type="spellStart"/>
      <w:r w:rsidRPr="00FA23DA">
        <w:rPr>
          <w:rStyle w:val="Emphasis"/>
          <w:sz w:val="28"/>
          <w:szCs w:val="28"/>
        </w:rPr>
        <w:t>français</w:t>
      </w:r>
      <w:proofErr w:type="spellEnd"/>
      <w:r w:rsidRPr="00FA23DA">
        <w:rPr>
          <w:rStyle w:val="Emphasis"/>
          <w:sz w:val="28"/>
          <w:szCs w:val="28"/>
        </w:rPr>
        <w:t xml:space="preserve">: </w:t>
      </w:r>
      <w:proofErr w:type="spellStart"/>
      <w:r w:rsidRPr="00FA23DA">
        <w:rPr>
          <w:rStyle w:val="Emphasis"/>
          <w:sz w:val="28"/>
          <w:szCs w:val="28"/>
        </w:rPr>
        <w:t>édition</w:t>
      </w:r>
      <w:proofErr w:type="spellEnd"/>
      <w:r w:rsidRPr="00FA23DA">
        <w:rPr>
          <w:rStyle w:val="Emphasis"/>
          <w:sz w:val="28"/>
          <w:szCs w:val="28"/>
        </w:rPr>
        <w:t xml:space="preserve"> </w:t>
      </w:r>
      <w:proofErr w:type="spellStart"/>
      <w:r w:rsidRPr="00FA23DA">
        <w:rPr>
          <w:rStyle w:val="Emphasis"/>
          <w:sz w:val="28"/>
          <w:szCs w:val="28"/>
        </w:rPr>
        <w:t>originale</w:t>
      </w:r>
      <w:proofErr w:type="spellEnd"/>
      <w:r w:rsidRPr="00FA23DA">
        <w:rPr>
          <w:rStyle w:val="Emphasis"/>
          <w:sz w:val="28"/>
          <w:szCs w:val="28"/>
        </w:rPr>
        <w:t xml:space="preserve"> </w:t>
      </w:r>
      <w:proofErr w:type="spellStart"/>
      <w:r w:rsidRPr="00FA23DA">
        <w:rPr>
          <w:rStyle w:val="Emphasis"/>
          <w:sz w:val="28"/>
          <w:szCs w:val="28"/>
        </w:rPr>
        <w:t>et</w:t>
      </w:r>
      <w:proofErr w:type="spellEnd"/>
      <w:r w:rsidRPr="00FA23DA">
        <w:rPr>
          <w:rStyle w:val="Emphasis"/>
          <w:sz w:val="28"/>
          <w:szCs w:val="28"/>
        </w:rPr>
        <w:t xml:space="preserve"> </w:t>
      </w:r>
      <w:proofErr w:type="spellStart"/>
      <w:r w:rsidRPr="00FA23DA">
        <w:rPr>
          <w:rStyle w:val="Emphasis"/>
          <w:sz w:val="28"/>
          <w:szCs w:val="28"/>
        </w:rPr>
        <w:t>seule</w:t>
      </w:r>
      <w:proofErr w:type="spellEnd"/>
      <w:r w:rsidRPr="00FA23DA">
        <w:rPr>
          <w:rStyle w:val="Emphasis"/>
          <w:sz w:val="28"/>
          <w:szCs w:val="28"/>
        </w:rPr>
        <w:t xml:space="preserve"> </w:t>
      </w:r>
      <w:proofErr w:type="spellStart"/>
      <w:r w:rsidRPr="00FA23DA">
        <w:rPr>
          <w:rStyle w:val="Emphasis"/>
          <w:sz w:val="28"/>
          <w:szCs w:val="28"/>
        </w:rPr>
        <w:t>officielle</w:t>
      </w:r>
      <w:proofErr w:type="spellEnd"/>
      <w:r w:rsidRPr="00FA23DA">
        <w:rPr>
          <w:sz w:val="28"/>
          <w:szCs w:val="28"/>
        </w:rPr>
        <w:t xml:space="preserve">. </w:t>
      </w:r>
      <w:proofErr w:type="spellStart"/>
      <w:r w:rsidRPr="00FA23DA">
        <w:rPr>
          <w:sz w:val="28"/>
          <w:szCs w:val="28"/>
        </w:rPr>
        <w:t>Gallica</w:t>
      </w:r>
      <w:proofErr w:type="spellEnd"/>
      <w:r w:rsidRPr="00FA23DA">
        <w:rPr>
          <w:sz w:val="28"/>
          <w:szCs w:val="28"/>
        </w:rPr>
        <w:t xml:space="preserve">. URL: </w:t>
      </w:r>
      <w:hyperlink r:id="rId20" w:tgtFrame="_new" w:history="1">
        <w:r w:rsidRPr="00FA23DA">
          <w:rPr>
            <w:rStyle w:val="Hyperlink"/>
            <w:sz w:val="28"/>
            <w:szCs w:val="28"/>
          </w:rPr>
          <w:t>https://gallica.bnf.fr/ark:/12148/bpt6k1061517/f2.item</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r w:rsidRPr="00FA23DA">
        <w:rPr>
          <w:sz w:val="28"/>
          <w:szCs w:val="28"/>
          <w:lang w:val="en-US"/>
        </w:rPr>
        <w:t>April</w:t>
      </w:r>
      <w:r w:rsidRPr="00FA23DA">
        <w:rPr>
          <w:sz w:val="28"/>
          <w:szCs w:val="28"/>
        </w:rPr>
        <w:t xml:space="preserve"> </w:t>
      </w:r>
      <w:r w:rsidRPr="00FA23DA">
        <w:rPr>
          <w:sz w:val="28"/>
          <w:szCs w:val="28"/>
          <w:lang w:val="en-US"/>
        </w:rPr>
        <w:t>9</w:t>
      </w:r>
      <w:r w:rsidRPr="00FA23DA">
        <w:rPr>
          <w:sz w:val="28"/>
          <w:szCs w:val="28"/>
        </w:rPr>
        <w:t>, 2025).</w:t>
      </w:r>
    </w:p>
    <w:p w14:paraId="7CF69098" w14:textId="4D8E7C85" w:rsidR="009F5050" w:rsidRPr="00FA23DA" w:rsidRDefault="009F5050" w:rsidP="00FA23DA">
      <w:pPr>
        <w:pStyle w:val="NormalWeb"/>
        <w:spacing w:line="360" w:lineRule="auto"/>
        <w:rPr>
          <w:sz w:val="28"/>
          <w:szCs w:val="28"/>
        </w:rPr>
      </w:pPr>
      <w:r w:rsidRPr="00FA23DA">
        <w:rPr>
          <w:sz w:val="28"/>
          <w:szCs w:val="28"/>
        </w:rPr>
        <w:t xml:space="preserve">DFR – </w:t>
      </w:r>
      <w:proofErr w:type="spellStart"/>
      <w:r w:rsidRPr="00FA23DA">
        <w:rPr>
          <w:rStyle w:val="Emphasis"/>
          <w:sz w:val="28"/>
          <w:szCs w:val="28"/>
        </w:rPr>
        <w:t>BVerfGE</w:t>
      </w:r>
      <w:proofErr w:type="spellEnd"/>
      <w:r w:rsidRPr="00FA23DA">
        <w:rPr>
          <w:rStyle w:val="Emphasis"/>
          <w:sz w:val="28"/>
          <w:szCs w:val="28"/>
        </w:rPr>
        <w:t xml:space="preserve"> 95, 96 – </w:t>
      </w:r>
      <w:proofErr w:type="spellStart"/>
      <w:r w:rsidRPr="00FA23DA">
        <w:rPr>
          <w:rStyle w:val="Emphasis"/>
          <w:sz w:val="28"/>
          <w:szCs w:val="28"/>
        </w:rPr>
        <w:t>Mauerschützen</w:t>
      </w:r>
      <w:proofErr w:type="spellEnd"/>
      <w:r w:rsidRPr="00FA23DA">
        <w:rPr>
          <w:sz w:val="28"/>
          <w:szCs w:val="28"/>
        </w:rPr>
        <w:t xml:space="preserve">. </w:t>
      </w:r>
      <w:proofErr w:type="spellStart"/>
      <w:r w:rsidRPr="00FA23DA">
        <w:rPr>
          <w:sz w:val="28"/>
          <w:szCs w:val="28"/>
        </w:rPr>
        <w:t>Internetprojekte</w:t>
      </w:r>
      <w:proofErr w:type="spellEnd"/>
      <w:r w:rsidRPr="00FA23DA">
        <w:rPr>
          <w:sz w:val="28"/>
          <w:szCs w:val="28"/>
        </w:rPr>
        <w:t xml:space="preserve"> </w:t>
      </w:r>
      <w:proofErr w:type="spellStart"/>
      <w:r w:rsidRPr="00FA23DA">
        <w:rPr>
          <w:sz w:val="28"/>
          <w:szCs w:val="28"/>
        </w:rPr>
        <w:t>Prof</w:t>
      </w:r>
      <w:proofErr w:type="spellEnd"/>
      <w:r w:rsidRPr="00FA23DA">
        <w:rPr>
          <w:sz w:val="28"/>
          <w:szCs w:val="28"/>
        </w:rPr>
        <w:t xml:space="preserve">. </w:t>
      </w:r>
      <w:proofErr w:type="spellStart"/>
      <w:r w:rsidRPr="00FA23DA">
        <w:rPr>
          <w:sz w:val="28"/>
          <w:szCs w:val="28"/>
        </w:rPr>
        <w:t>Dr</w:t>
      </w:r>
      <w:proofErr w:type="spellEnd"/>
      <w:r w:rsidRPr="00FA23DA">
        <w:rPr>
          <w:sz w:val="28"/>
          <w:szCs w:val="28"/>
        </w:rPr>
        <w:t xml:space="preserve">. </w:t>
      </w:r>
      <w:proofErr w:type="spellStart"/>
      <w:r w:rsidRPr="00FA23DA">
        <w:rPr>
          <w:sz w:val="28"/>
          <w:szCs w:val="28"/>
        </w:rPr>
        <w:t>Axel</w:t>
      </w:r>
      <w:proofErr w:type="spellEnd"/>
      <w:r w:rsidRPr="00FA23DA">
        <w:rPr>
          <w:sz w:val="28"/>
          <w:szCs w:val="28"/>
        </w:rPr>
        <w:t xml:space="preserve"> </w:t>
      </w:r>
      <w:proofErr w:type="spellStart"/>
      <w:r w:rsidRPr="00FA23DA">
        <w:rPr>
          <w:sz w:val="28"/>
          <w:szCs w:val="28"/>
        </w:rPr>
        <w:t>Tschentscher</w:t>
      </w:r>
      <w:proofErr w:type="spellEnd"/>
      <w:r w:rsidRPr="00FA23DA">
        <w:rPr>
          <w:sz w:val="28"/>
          <w:szCs w:val="28"/>
        </w:rPr>
        <w:t xml:space="preserve">, LL.M., M.A. URL: </w:t>
      </w:r>
      <w:hyperlink r:id="rId21" w:tgtFrame="_new" w:history="1">
        <w:r w:rsidRPr="00FA23DA">
          <w:rPr>
            <w:rStyle w:val="Hyperlink"/>
            <w:sz w:val="28"/>
            <w:szCs w:val="28"/>
          </w:rPr>
          <w:t>https://www.servat.unibe.ch/dfr/bv095096.html</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r w:rsidRPr="00FA23DA">
        <w:rPr>
          <w:sz w:val="28"/>
          <w:szCs w:val="28"/>
          <w:lang w:val="en-US"/>
        </w:rPr>
        <w:t>April</w:t>
      </w:r>
      <w:r w:rsidRPr="00FA23DA">
        <w:rPr>
          <w:sz w:val="28"/>
          <w:szCs w:val="28"/>
        </w:rPr>
        <w:t xml:space="preserve"> </w:t>
      </w:r>
      <w:r w:rsidRPr="00FA23DA">
        <w:rPr>
          <w:sz w:val="28"/>
          <w:szCs w:val="28"/>
          <w:lang w:val="en-US"/>
        </w:rPr>
        <w:t>9</w:t>
      </w:r>
      <w:r w:rsidRPr="00FA23DA">
        <w:rPr>
          <w:sz w:val="28"/>
          <w:szCs w:val="28"/>
        </w:rPr>
        <w:t>, 2025).</w:t>
      </w:r>
    </w:p>
    <w:p w14:paraId="1A1610AE" w14:textId="77777777" w:rsidR="009F5050" w:rsidRPr="00FA23DA" w:rsidRDefault="009F5050" w:rsidP="00FA23DA">
      <w:pPr>
        <w:pStyle w:val="NormalWeb"/>
        <w:spacing w:line="360" w:lineRule="auto"/>
        <w:rPr>
          <w:sz w:val="28"/>
          <w:szCs w:val="28"/>
        </w:rPr>
      </w:pPr>
      <w:proofErr w:type="spellStart"/>
      <w:r w:rsidRPr="00FA23DA">
        <w:rPr>
          <w:sz w:val="28"/>
          <w:szCs w:val="28"/>
        </w:rPr>
        <w:lastRenderedPageBreak/>
        <w:t>Fletcher</w:t>
      </w:r>
      <w:proofErr w:type="spellEnd"/>
      <w:r w:rsidRPr="00FA23DA">
        <w:rPr>
          <w:sz w:val="28"/>
          <w:szCs w:val="28"/>
        </w:rPr>
        <w:t xml:space="preserve">, G. P. </w:t>
      </w:r>
      <w:proofErr w:type="spellStart"/>
      <w:r w:rsidRPr="00FA23DA">
        <w:rPr>
          <w:rStyle w:val="Emphasis"/>
          <w:sz w:val="28"/>
          <w:szCs w:val="28"/>
        </w:rPr>
        <w:t>Basic</w:t>
      </w:r>
      <w:proofErr w:type="spellEnd"/>
      <w:r w:rsidRPr="00FA23DA">
        <w:rPr>
          <w:rStyle w:val="Emphasis"/>
          <w:sz w:val="28"/>
          <w:szCs w:val="28"/>
        </w:rPr>
        <w:t xml:space="preserve"> </w:t>
      </w:r>
      <w:proofErr w:type="spellStart"/>
      <w:r w:rsidRPr="00FA23DA">
        <w:rPr>
          <w:rStyle w:val="Emphasis"/>
          <w:sz w:val="28"/>
          <w:szCs w:val="28"/>
        </w:rPr>
        <w:t>Concepts</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Criminal</w:t>
      </w:r>
      <w:proofErr w:type="spellEnd"/>
      <w:r w:rsidRPr="00FA23DA">
        <w:rPr>
          <w:rStyle w:val="Emphasis"/>
          <w:sz w:val="28"/>
          <w:szCs w:val="28"/>
        </w:rPr>
        <w:t xml:space="preserve"> </w:t>
      </w:r>
      <w:proofErr w:type="spellStart"/>
      <w:r w:rsidRPr="00FA23DA">
        <w:rPr>
          <w:rStyle w:val="Emphasis"/>
          <w:sz w:val="28"/>
          <w:szCs w:val="28"/>
        </w:rPr>
        <w:t>Law</w:t>
      </w:r>
      <w:proofErr w:type="spellEnd"/>
      <w:r w:rsidRPr="00FA23DA">
        <w:rPr>
          <w:sz w:val="28"/>
          <w:szCs w:val="28"/>
        </w:rPr>
        <w:t xml:space="preserve">. </w:t>
      </w:r>
      <w:proofErr w:type="spellStart"/>
      <w:r w:rsidRPr="00FA23DA">
        <w:rPr>
          <w:sz w:val="28"/>
          <w:szCs w:val="28"/>
        </w:rPr>
        <w:t>Oxford</w:t>
      </w:r>
      <w:proofErr w:type="spellEnd"/>
      <w:r w:rsidRPr="00FA23DA">
        <w:rPr>
          <w:sz w:val="28"/>
          <w:szCs w:val="28"/>
        </w:rPr>
        <w:t xml:space="preserve">: </w:t>
      </w:r>
      <w:proofErr w:type="spellStart"/>
      <w:r w:rsidRPr="00FA23DA">
        <w:rPr>
          <w:sz w:val="28"/>
          <w:szCs w:val="28"/>
        </w:rPr>
        <w:t>Oxford</w:t>
      </w:r>
      <w:proofErr w:type="spellEnd"/>
      <w:r w:rsidRPr="00FA23DA">
        <w:rPr>
          <w:sz w:val="28"/>
          <w:szCs w:val="28"/>
        </w:rPr>
        <w:t xml:space="preserve"> </w:t>
      </w:r>
      <w:proofErr w:type="spellStart"/>
      <w:r w:rsidRPr="00FA23DA">
        <w:rPr>
          <w:sz w:val="28"/>
          <w:szCs w:val="28"/>
        </w:rPr>
        <w:t>University</w:t>
      </w:r>
      <w:proofErr w:type="spellEnd"/>
      <w:r w:rsidRPr="00FA23DA">
        <w:rPr>
          <w:sz w:val="28"/>
          <w:szCs w:val="28"/>
        </w:rPr>
        <w:t xml:space="preserve"> </w:t>
      </w:r>
      <w:proofErr w:type="spellStart"/>
      <w:r w:rsidRPr="00FA23DA">
        <w:rPr>
          <w:sz w:val="28"/>
          <w:szCs w:val="28"/>
        </w:rPr>
        <w:t>Press</w:t>
      </w:r>
      <w:proofErr w:type="spellEnd"/>
      <w:r w:rsidRPr="00FA23DA">
        <w:rPr>
          <w:sz w:val="28"/>
          <w:szCs w:val="28"/>
        </w:rPr>
        <w:t>, 1998.</w:t>
      </w:r>
    </w:p>
    <w:p w14:paraId="5B8AA79E" w14:textId="71303082" w:rsidR="009F5050" w:rsidRPr="00FA23DA" w:rsidRDefault="009F5050" w:rsidP="00FA23DA">
      <w:pPr>
        <w:pStyle w:val="NormalWeb"/>
        <w:spacing w:line="360" w:lineRule="auto"/>
        <w:rPr>
          <w:sz w:val="28"/>
          <w:szCs w:val="28"/>
        </w:rPr>
      </w:pPr>
      <w:proofErr w:type="spellStart"/>
      <w:r w:rsidRPr="00FA23DA">
        <w:rPr>
          <w:sz w:val="28"/>
          <w:szCs w:val="28"/>
        </w:rPr>
        <w:t>Jansen</w:t>
      </w:r>
      <w:proofErr w:type="spellEnd"/>
      <w:r w:rsidRPr="00FA23DA">
        <w:rPr>
          <w:sz w:val="28"/>
          <w:szCs w:val="28"/>
        </w:rPr>
        <w:t xml:space="preserve">, </w:t>
      </w:r>
      <w:proofErr w:type="spellStart"/>
      <w:r w:rsidRPr="00FA23DA">
        <w:rPr>
          <w:sz w:val="28"/>
          <w:szCs w:val="28"/>
        </w:rPr>
        <w:t>Briain</w:t>
      </w:r>
      <w:proofErr w:type="spellEnd"/>
      <w:r w:rsidRPr="00FA23DA">
        <w:rPr>
          <w:sz w:val="28"/>
          <w:szCs w:val="28"/>
        </w:rPr>
        <w:t>. "</w:t>
      </w:r>
      <w:proofErr w:type="spellStart"/>
      <w:r w:rsidRPr="00FA23DA">
        <w:rPr>
          <w:sz w:val="28"/>
          <w:szCs w:val="28"/>
        </w:rPr>
        <w:t>Dworkin’s</w:t>
      </w:r>
      <w:proofErr w:type="spellEnd"/>
      <w:r w:rsidRPr="00FA23DA">
        <w:rPr>
          <w:sz w:val="28"/>
          <w:szCs w:val="28"/>
        </w:rPr>
        <w:t xml:space="preserve"> </w:t>
      </w:r>
      <w:proofErr w:type="spellStart"/>
      <w:r w:rsidRPr="00FA23DA">
        <w:rPr>
          <w:sz w:val="28"/>
          <w:szCs w:val="28"/>
        </w:rPr>
        <w:t>Rights</w:t>
      </w:r>
      <w:proofErr w:type="spellEnd"/>
      <w:r w:rsidRPr="00FA23DA">
        <w:rPr>
          <w:sz w:val="28"/>
          <w:szCs w:val="28"/>
        </w:rPr>
        <w:t xml:space="preserve"> </w:t>
      </w:r>
      <w:proofErr w:type="spellStart"/>
      <w:r w:rsidRPr="00FA23DA">
        <w:rPr>
          <w:sz w:val="28"/>
          <w:szCs w:val="28"/>
        </w:rPr>
        <w:t>Conception</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the</w:t>
      </w:r>
      <w:proofErr w:type="spellEnd"/>
      <w:r w:rsidRPr="00FA23DA">
        <w:rPr>
          <w:sz w:val="28"/>
          <w:szCs w:val="28"/>
        </w:rPr>
        <w:t xml:space="preserve"> </w:t>
      </w:r>
      <w:proofErr w:type="spellStart"/>
      <w:r w:rsidRPr="00FA23DA">
        <w:rPr>
          <w:sz w:val="28"/>
          <w:szCs w:val="28"/>
        </w:rPr>
        <w:t>Rule</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Law</w:t>
      </w:r>
      <w:proofErr w:type="spellEnd"/>
      <w:r w:rsidRPr="00FA23DA">
        <w:rPr>
          <w:sz w:val="28"/>
          <w:szCs w:val="28"/>
        </w:rPr>
        <w:t xml:space="preserve"> </w:t>
      </w:r>
      <w:proofErr w:type="spellStart"/>
      <w:r w:rsidRPr="00FA23DA">
        <w:rPr>
          <w:sz w:val="28"/>
          <w:szCs w:val="28"/>
        </w:rPr>
        <w:t>in</w:t>
      </w:r>
      <w:proofErr w:type="spellEnd"/>
      <w:r w:rsidRPr="00FA23DA">
        <w:rPr>
          <w:sz w:val="28"/>
          <w:szCs w:val="28"/>
        </w:rPr>
        <w:t xml:space="preserve"> </w:t>
      </w:r>
      <w:proofErr w:type="spellStart"/>
      <w:r w:rsidRPr="00FA23DA">
        <w:rPr>
          <w:sz w:val="28"/>
          <w:szCs w:val="28"/>
        </w:rPr>
        <w:t>Criminal</w:t>
      </w:r>
      <w:proofErr w:type="spellEnd"/>
      <w:r w:rsidRPr="00FA23DA">
        <w:rPr>
          <w:sz w:val="28"/>
          <w:szCs w:val="28"/>
        </w:rPr>
        <w:t xml:space="preserve"> </w:t>
      </w:r>
      <w:proofErr w:type="spellStart"/>
      <w:r w:rsidRPr="00FA23DA">
        <w:rPr>
          <w:sz w:val="28"/>
          <w:szCs w:val="28"/>
        </w:rPr>
        <w:t>Law</w:t>
      </w:r>
      <w:proofErr w:type="spellEnd"/>
      <w:r w:rsidRPr="00FA23DA">
        <w:rPr>
          <w:sz w:val="28"/>
          <w:szCs w:val="28"/>
        </w:rPr>
        <w:t xml:space="preserve">." </w:t>
      </w:r>
      <w:proofErr w:type="spellStart"/>
      <w:r w:rsidRPr="00FA23DA">
        <w:rPr>
          <w:rStyle w:val="Emphasis"/>
          <w:sz w:val="28"/>
          <w:szCs w:val="28"/>
        </w:rPr>
        <w:t>Netherlands</w:t>
      </w:r>
      <w:proofErr w:type="spellEnd"/>
      <w:r w:rsidRPr="00FA23DA">
        <w:rPr>
          <w:rStyle w:val="Emphasis"/>
          <w:sz w:val="28"/>
          <w:szCs w:val="28"/>
        </w:rPr>
        <w:t xml:space="preserve"> </w:t>
      </w:r>
      <w:proofErr w:type="spellStart"/>
      <w:r w:rsidRPr="00FA23DA">
        <w:rPr>
          <w:rStyle w:val="Emphasis"/>
          <w:sz w:val="28"/>
          <w:szCs w:val="28"/>
        </w:rPr>
        <w:t>Journal</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Legal</w:t>
      </w:r>
      <w:proofErr w:type="spellEnd"/>
      <w:r w:rsidRPr="00FA23DA">
        <w:rPr>
          <w:rStyle w:val="Emphasis"/>
          <w:sz w:val="28"/>
          <w:szCs w:val="28"/>
        </w:rPr>
        <w:t xml:space="preserve"> </w:t>
      </w:r>
      <w:proofErr w:type="spellStart"/>
      <w:r w:rsidRPr="00FA23DA">
        <w:rPr>
          <w:rStyle w:val="Emphasis"/>
          <w:sz w:val="28"/>
          <w:szCs w:val="28"/>
        </w:rPr>
        <w:t>Philosophy</w:t>
      </w:r>
      <w:proofErr w:type="spellEnd"/>
      <w:r w:rsidRPr="00FA23DA">
        <w:rPr>
          <w:sz w:val="28"/>
          <w:szCs w:val="28"/>
        </w:rPr>
        <w:t xml:space="preserve"> 46, </w:t>
      </w:r>
      <w:proofErr w:type="spellStart"/>
      <w:r w:rsidRPr="00FA23DA">
        <w:rPr>
          <w:sz w:val="28"/>
          <w:szCs w:val="28"/>
        </w:rPr>
        <w:t>no</w:t>
      </w:r>
      <w:proofErr w:type="spellEnd"/>
      <w:r w:rsidRPr="00FA23DA">
        <w:rPr>
          <w:sz w:val="28"/>
          <w:szCs w:val="28"/>
        </w:rPr>
        <w:t xml:space="preserve">. 2 (2017): 160–176. </w:t>
      </w:r>
      <w:hyperlink r:id="rId22" w:tgtFrame="_new" w:history="1">
        <w:r w:rsidRPr="00FA23DA">
          <w:rPr>
            <w:rStyle w:val="Hyperlink"/>
            <w:sz w:val="28"/>
            <w:szCs w:val="28"/>
          </w:rPr>
          <w:t>https://doi.org/10.5553/njlp/221307132017046002004</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r w:rsidRPr="00FA23DA">
        <w:rPr>
          <w:sz w:val="28"/>
          <w:szCs w:val="28"/>
          <w:lang w:val="en-US"/>
        </w:rPr>
        <w:t>April</w:t>
      </w:r>
      <w:r w:rsidRPr="00FA23DA">
        <w:rPr>
          <w:sz w:val="28"/>
          <w:szCs w:val="28"/>
        </w:rPr>
        <w:t xml:space="preserve"> </w:t>
      </w:r>
      <w:r w:rsidRPr="00FA23DA">
        <w:rPr>
          <w:sz w:val="28"/>
          <w:szCs w:val="28"/>
          <w:lang w:val="en-US"/>
        </w:rPr>
        <w:t>9</w:t>
      </w:r>
      <w:r w:rsidRPr="00FA23DA">
        <w:rPr>
          <w:sz w:val="28"/>
          <w:szCs w:val="28"/>
        </w:rPr>
        <w:t>, 2025).</w:t>
      </w:r>
    </w:p>
    <w:p w14:paraId="714D5261" w14:textId="77777777" w:rsidR="009F5050" w:rsidRPr="00FA23DA" w:rsidRDefault="009F5050" w:rsidP="00FA23DA">
      <w:pPr>
        <w:pStyle w:val="NormalWeb"/>
        <w:spacing w:line="360" w:lineRule="auto"/>
        <w:rPr>
          <w:sz w:val="28"/>
          <w:szCs w:val="28"/>
        </w:rPr>
      </w:pPr>
      <w:proofErr w:type="spellStart"/>
      <w:r w:rsidRPr="00FA23DA">
        <w:rPr>
          <w:sz w:val="28"/>
          <w:szCs w:val="28"/>
        </w:rPr>
        <w:t>Johnston</w:t>
      </w:r>
      <w:proofErr w:type="spellEnd"/>
      <w:r w:rsidRPr="00FA23DA">
        <w:rPr>
          <w:sz w:val="28"/>
          <w:szCs w:val="28"/>
        </w:rPr>
        <w:t xml:space="preserve">, </w:t>
      </w:r>
      <w:proofErr w:type="spellStart"/>
      <w:r w:rsidRPr="00FA23DA">
        <w:rPr>
          <w:sz w:val="28"/>
          <w:szCs w:val="28"/>
        </w:rPr>
        <w:t>David</w:t>
      </w:r>
      <w:proofErr w:type="spellEnd"/>
      <w:r w:rsidRPr="00FA23DA">
        <w:rPr>
          <w:sz w:val="28"/>
          <w:szCs w:val="28"/>
        </w:rPr>
        <w:t xml:space="preserve">. </w:t>
      </w:r>
      <w:proofErr w:type="spellStart"/>
      <w:r w:rsidRPr="00FA23DA">
        <w:rPr>
          <w:rStyle w:val="Emphasis"/>
          <w:sz w:val="28"/>
          <w:szCs w:val="28"/>
        </w:rPr>
        <w:t>Cambridge</w:t>
      </w:r>
      <w:proofErr w:type="spellEnd"/>
      <w:r w:rsidRPr="00FA23DA">
        <w:rPr>
          <w:rStyle w:val="Emphasis"/>
          <w:sz w:val="28"/>
          <w:szCs w:val="28"/>
        </w:rPr>
        <w:t xml:space="preserve"> </w:t>
      </w:r>
      <w:proofErr w:type="spellStart"/>
      <w:r w:rsidRPr="00FA23DA">
        <w:rPr>
          <w:rStyle w:val="Emphasis"/>
          <w:sz w:val="28"/>
          <w:szCs w:val="28"/>
        </w:rPr>
        <w:t>Companion</w:t>
      </w:r>
      <w:proofErr w:type="spellEnd"/>
      <w:r w:rsidRPr="00FA23DA">
        <w:rPr>
          <w:rStyle w:val="Emphasis"/>
          <w:sz w:val="28"/>
          <w:szCs w:val="28"/>
        </w:rPr>
        <w:t xml:space="preserve"> </w:t>
      </w:r>
      <w:proofErr w:type="spellStart"/>
      <w:r w:rsidRPr="00FA23DA">
        <w:rPr>
          <w:rStyle w:val="Emphasis"/>
          <w:sz w:val="28"/>
          <w:szCs w:val="28"/>
        </w:rPr>
        <w:t>to</w:t>
      </w:r>
      <w:proofErr w:type="spellEnd"/>
      <w:r w:rsidRPr="00FA23DA">
        <w:rPr>
          <w:rStyle w:val="Emphasis"/>
          <w:sz w:val="28"/>
          <w:szCs w:val="28"/>
        </w:rPr>
        <w:t xml:space="preserve"> </w:t>
      </w:r>
      <w:proofErr w:type="spellStart"/>
      <w:r w:rsidRPr="00FA23DA">
        <w:rPr>
          <w:rStyle w:val="Emphasis"/>
          <w:sz w:val="28"/>
          <w:szCs w:val="28"/>
        </w:rPr>
        <w:t>Roman</w:t>
      </w:r>
      <w:proofErr w:type="spellEnd"/>
      <w:r w:rsidRPr="00FA23DA">
        <w:rPr>
          <w:rStyle w:val="Emphasis"/>
          <w:sz w:val="28"/>
          <w:szCs w:val="28"/>
        </w:rPr>
        <w:t xml:space="preserve"> </w:t>
      </w:r>
      <w:proofErr w:type="spellStart"/>
      <w:r w:rsidRPr="00FA23DA">
        <w:rPr>
          <w:rStyle w:val="Emphasis"/>
          <w:sz w:val="28"/>
          <w:szCs w:val="28"/>
        </w:rPr>
        <w:t>Law</w:t>
      </w:r>
      <w:proofErr w:type="spellEnd"/>
      <w:r w:rsidRPr="00FA23DA">
        <w:rPr>
          <w:sz w:val="28"/>
          <w:szCs w:val="28"/>
        </w:rPr>
        <w:t xml:space="preserve">. </w:t>
      </w:r>
      <w:proofErr w:type="spellStart"/>
      <w:r w:rsidRPr="00FA23DA">
        <w:rPr>
          <w:sz w:val="28"/>
          <w:szCs w:val="28"/>
        </w:rPr>
        <w:t>Cambridge</w:t>
      </w:r>
      <w:proofErr w:type="spellEnd"/>
      <w:r w:rsidRPr="00FA23DA">
        <w:rPr>
          <w:sz w:val="28"/>
          <w:szCs w:val="28"/>
        </w:rPr>
        <w:t xml:space="preserve">: </w:t>
      </w:r>
      <w:proofErr w:type="spellStart"/>
      <w:r w:rsidRPr="00FA23DA">
        <w:rPr>
          <w:sz w:val="28"/>
          <w:szCs w:val="28"/>
        </w:rPr>
        <w:t>Cambridge</w:t>
      </w:r>
      <w:proofErr w:type="spellEnd"/>
      <w:r w:rsidRPr="00FA23DA">
        <w:rPr>
          <w:sz w:val="28"/>
          <w:szCs w:val="28"/>
        </w:rPr>
        <w:t xml:space="preserve"> </w:t>
      </w:r>
      <w:proofErr w:type="spellStart"/>
      <w:r w:rsidRPr="00FA23DA">
        <w:rPr>
          <w:sz w:val="28"/>
          <w:szCs w:val="28"/>
        </w:rPr>
        <w:t>University</w:t>
      </w:r>
      <w:proofErr w:type="spellEnd"/>
      <w:r w:rsidRPr="00FA23DA">
        <w:rPr>
          <w:sz w:val="28"/>
          <w:szCs w:val="28"/>
        </w:rPr>
        <w:t xml:space="preserve"> </w:t>
      </w:r>
      <w:proofErr w:type="spellStart"/>
      <w:r w:rsidRPr="00FA23DA">
        <w:rPr>
          <w:sz w:val="28"/>
          <w:szCs w:val="28"/>
        </w:rPr>
        <w:t>Press</w:t>
      </w:r>
      <w:proofErr w:type="spellEnd"/>
      <w:r w:rsidRPr="00FA23DA">
        <w:rPr>
          <w:sz w:val="28"/>
          <w:szCs w:val="28"/>
        </w:rPr>
        <w:t>, 2015.</w:t>
      </w:r>
    </w:p>
    <w:p w14:paraId="3E5E485A" w14:textId="06ABD82A" w:rsidR="009F5050" w:rsidRPr="00FA23DA" w:rsidRDefault="009F5050" w:rsidP="00FA23DA">
      <w:pPr>
        <w:pStyle w:val="NormalWeb"/>
        <w:spacing w:line="360" w:lineRule="auto"/>
        <w:rPr>
          <w:sz w:val="28"/>
          <w:szCs w:val="28"/>
        </w:rPr>
      </w:pPr>
      <w:proofErr w:type="spellStart"/>
      <w:r w:rsidRPr="00FA23DA">
        <w:rPr>
          <w:rStyle w:val="Emphasis"/>
          <w:sz w:val="28"/>
          <w:szCs w:val="28"/>
        </w:rPr>
        <w:t>Rogers</w:t>
      </w:r>
      <w:proofErr w:type="spellEnd"/>
      <w:r w:rsidRPr="00FA23DA">
        <w:rPr>
          <w:rStyle w:val="Emphasis"/>
          <w:sz w:val="28"/>
          <w:szCs w:val="28"/>
        </w:rPr>
        <w:t xml:space="preserve"> v. </w:t>
      </w:r>
      <w:proofErr w:type="spellStart"/>
      <w:r w:rsidRPr="00FA23DA">
        <w:rPr>
          <w:rStyle w:val="Emphasis"/>
          <w:sz w:val="28"/>
          <w:szCs w:val="28"/>
        </w:rPr>
        <w:t>Tennessee</w:t>
      </w:r>
      <w:proofErr w:type="spellEnd"/>
      <w:r w:rsidRPr="00FA23DA">
        <w:rPr>
          <w:sz w:val="28"/>
          <w:szCs w:val="28"/>
        </w:rPr>
        <w:t xml:space="preserve">, 532 U.S. 451 (2001). URL: </w:t>
      </w:r>
      <w:hyperlink r:id="rId23" w:tgtFrame="_new" w:history="1">
        <w:r w:rsidRPr="00FA23DA">
          <w:rPr>
            <w:rStyle w:val="Hyperlink"/>
            <w:sz w:val="28"/>
            <w:szCs w:val="28"/>
          </w:rPr>
          <w:t>https://supreme.justia.com/cases/federal/us/532/451/</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r w:rsidRPr="00FA23DA">
        <w:rPr>
          <w:sz w:val="28"/>
          <w:szCs w:val="28"/>
          <w:lang w:val="en-US"/>
        </w:rPr>
        <w:t>April</w:t>
      </w:r>
      <w:r w:rsidRPr="00FA23DA">
        <w:rPr>
          <w:sz w:val="28"/>
          <w:szCs w:val="28"/>
        </w:rPr>
        <w:t xml:space="preserve"> </w:t>
      </w:r>
      <w:r w:rsidRPr="00FA23DA">
        <w:rPr>
          <w:sz w:val="28"/>
          <w:szCs w:val="28"/>
          <w:lang w:val="en-US"/>
        </w:rPr>
        <w:t>9</w:t>
      </w:r>
      <w:r w:rsidRPr="00FA23DA">
        <w:rPr>
          <w:sz w:val="28"/>
          <w:szCs w:val="28"/>
        </w:rPr>
        <w:t>, 2025).</w:t>
      </w:r>
    </w:p>
    <w:p w14:paraId="420A7AF0" w14:textId="07ABEA83" w:rsidR="009F5050" w:rsidRPr="00FA23DA" w:rsidRDefault="009F5050" w:rsidP="00FA23DA">
      <w:pPr>
        <w:pStyle w:val="NormalWeb"/>
        <w:spacing w:line="360" w:lineRule="auto"/>
        <w:rPr>
          <w:sz w:val="28"/>
          <w:szCs w:val="28"/>
        </w:rPr>
      </w:pPr>
      <w:proofErr w:type="spellStart"/>
      <w:r w:rsidRPr="00FA23DA">
        <w:rPr>
          <w:rStyle w:val="Emphasis"/>
          <w:sz w:val="28"/>
          <w:szCs w:val="28"/>
        </w:rPr>
        <w:t>Streletz</w:t>
      </w:r>
      <w:proofErr w:type="spellEnd"/>
      <w:r w:rsidRPr="00FA23DA">
        <w:rPr>
          <w:rStyle w:val="Emphasis"/>
          <w:sz w:val="28"/>
          <w:szCs w:val="28"/>
        </w:rPr>
        <w:t xml:space="preserve">, </w:t>
      </w:r>
      <w:proofErr w:type="spellStart"/>
      <w:r w:rsidRPr="00FA23DA">
        <w:rPr>
          <w:rStyle w:val="Emphasis"/>
          <w:sz w:val="28"/>
          <w:szCs w:val="28"/>
        </w:rPr>
        <w:t>Kessler</w:t>
      </w:r>
      <w:proofErr w:type="spellEnd"/>
      <w:r w:rsidRPr="00FA23DA">
        <w:rPr>
          <w:rStyle w:val="Emphasis"/>
          <w:sz w:val="28"/>
          <w:szCs w:val="28"/>
        </w:rPr>
        <w:t xml:space="preserve"> </w:t>
      </w:r>
      <w:proofErr w:type="spellStart"/>
      <w:r w:rsidRPr="00FA23DA">
        <w:rPr>
          <w:rStyle w:val="Emphasis"/>
          <w:sz w:val="28"/>
          <w:szCs w:val="28"/>
        </w:rPr>
        <w:t>and</w:t>
      </w:r>
      <w:proofErr w:type="spellEnd"/>
      <w:r w:rsidRPr="00FA23DA">
        <w:rPr>
          <w:rStyle w:val="Emphasis"/>
          <w:sz w:val="28"/>
          <w:szCs w:val="28"/>
        </w:rPr>
        <w:t xml:space="preserve"> </w:t>
      </w:r>
      <w:proofErr w:type="spellStart"/>
      <w:r w:rsidRPr="00FA23DA">
        <w:rPr>
          <w:rStyle w:val="Emphasis"/>
          <w:sz w:val="28"/>
          <w:szCs w:val="28"/>
        </w:rPr>
        <w:t>Krenz</w:t>
      </w:r>
      <w:proofErr w:type="spellEnd"/>
      <w:r w:rsidRPr="00FA23DA">
        <w:rPr>
          <w:rStyle w:val="Emphasis"/>
          <w:sz w:val="28"/>
          <w:szCs w:val="28"/>
        </w:rPr>
        <w:t xml:space="preserve"> v. </w:t>
      </w:r>
      <w:proofErr w:type="spellStart"/>
      <w:r w:rsidRPr="00FA23DA">
        <w:rPr>
          <w:rStyle w:val="Emphasis"/>
          <w:sz w:val="28"/>
          <w:szCs w:val="28"/>
        </w:rPr>
        <w:t>Germany</w:t>
      </w:r>
      <w:proofErr w:type="spellEnd"/>
      <w:r w:rsidRPr="00FA23DA">
        <w:rPr>
          <w:sz w:val="28"/>
          <w:szCs w:val="28"/>
        </w:rPr>
        <w:t xml:space="preserve">, </w:t>
      </w:r>
      <w:proofErr w:type="spellStart"/>
      <w:r w:rsidRPr="00FA23DA">
        <w:rPr>
          <w:sz w:val="28"/>
          <w:szCs w:val="28"/>
        </w:rPr>
        <w:t>no</w:t>
      </w:r>
      <w:proofErr w:type="spellEnd"/>
      <w:r w:rsidRPr="00FA23DA">
        <w:rPr>
          <w:sz w:val="28"/>
          <w:szCs w:val="28"/>
        </w:rPr>
        <w:t xml:space="preserve">. 34044/96, 35532/97, 44801/98, </w:t>
      </w:r>
      <w:proofErr w:type="spellStart"/>
      <w:r w:rsidRPr="00FA23DA">
        <w:rPr>
          <w:sz w:val="28"/>
          <w:szCs w:val="28"/>
        </w:rPr>
        <w:t>European</w:t>
      </w:r>
      <w:proofErr w:type="spellEnd"/>
      <w:r w:rsidRPr="00FA23DA">
        <w:rPr>
          <w:sz w:val="28"/>
          <w:szCs w:val="28"/>
        </w:rPr>
        <w:t xml:space="preserve"> </w:t>
      </w:r>
      <w:proofErr w:type="spellStart"/>
      <w:r w:rsidRPr="00FA23DA">
        <w:rPr>
          <w:sz w:val="28"/>
          <w:szCs w:val="28"/>
        </w:rPr>
        <w:t>Court</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Human</w:t>
      </w:r>
      <w:proofErr w:type="spellEnd"/>
      <w:r w:rsidRPr="00FA23DA">
        <w:rPr>
          <w:sz w:val="28"/>
          <w:szCs w:val="28"/>
        </w:rPr>
        <w:t xml:space="preserve"> </w:t>
      </w:r>
      <w:proofErr w:type="spellStart"/>
      <w:r w:rsidRPr="00FA23DA">
        <w:rPr>
          <w:sz w:val="28"/>
          <w:szCs w:val="28"/>
        </w:rPr>
        <w:t>Rights</w:t>
      </w:r>
      <w:proofErr w:type="spellEnd"/>
      <w:r w:rsidRPr="00FA23DA">
        <w:rPr>
          <w:sz w:val="28"/>
          <w:szCs w:val="28"/>
        </w:rPr>
        <w:t xml:space="preserve">, 2001. URL: </w:t>
      </w:r>
      <w:hyperlink r:id="rId24" w:anchor="%7B%22itemid%22:%5B%22002-7100%22%5D%7D" w:tgtFrame="_new" w:history="1">
        <w:r w:rsidRPr="00FA23DA">
          <w:rPr>
            <w:rStyle w:val="Hyperlink"/>
            <w:sz w:val="28"/>
            <w:szCs w:val="28"/>
          </w:rPr>
          <w:t>https://hudoc.echr.coe.int/fre#%7B"itemid":["002-7100"]%7D</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r w:rsidRPr="00FA23DA">
        <w:rPr>
          <w:sz w:val="28"/>
          <w:szCs w:val="28"/>
          <w:lang w:val="en-US"/>
        </w:rPr>
        <w:t>April</w:t>
      </w:r>
      <w:r w:rsidRPr="00FA23DA">
        <w:rPr>
          <w:sz w:val="28"/>
          <w:szCs w:val="28"/>
        </w:rPr>
        <w:t xml:space="preserve"> </w:t>
      </w:r>
      <w:r w:rsidRPr="00FA23DA">
        <w:rPr>
          <w:sz w:val="28"/>
          <w:szCs w:val="28"/>
          <w:lang w:val="en-US"/>
        </w:rPr>
        <w:t>9</w:t>
      </w:r>
      <w:r w:rsidRPr="00FA23DA">
        <w:rPr>
          <w:sz w:val="28"/>
          <w:szCs w:val="28"/>
        </w:rPr>
        <w:t>, 2025).</w:t>
      </w:r>
    </w:p>
    <w:p w14:paraId="219C2CC5" w14:textId="0B244F11" w:rsidR="00102533" w:rsidRPr="00FA23DA" w:rsidRDefault="009F5050" w:rsidP="00FA23DA">
      <w:pPr>
        <w:pStyle w:val="NormalWeb"/>
        <w:spacing w:line="360" w:lineRule="auto"/>
        <w:rPr>
          <w:sz w:val="28"/>
          <w:szCs w:val="28"/>
        </w:rPr>
      </w:pPr>
      <w:proofErr w:type="spellStart"/>
      <w:r w:rsidRPr="00FA23DA">
        <w:rPr>
          <w:sz w:val="28"/>
          <w:szCs w:val="28"/>
        </w:rPr>
        <w:t>Verbeek</w:t>
      </w:r>
      <w:proofErr w:type="spellEnd"/>
      <w:r w:rsidRPr="00FA23DA">
        <w:rPr>
          <w:sz w:val="28"/>
          <w:szCs w:val="28"/>
        </w:rPr>
        <w:t xml:space="preserve">, </w:t>
      </w:r>
      <w:proofErr w:type="spellStart"/>
      <w:r w:rsidRPr="00FA23DA">
        <w:rPr>
          <w:sz w:val="28"/>
          <w:szCs w:val="28"/>
        </w:rPr>
        <w:t>Joris</w:t>
      </w:r>
      <w:proofErr w:type="spellEnd"/>
      <w:r w:rsidRPr="00FA23DA">
        <w:rPr>
          <w:sz w:val="28"/>
          <w:szCs w:val="28"/>
        </w:rPr>
        <w:t xml:space="preserve">. </w:t>
      </w:r>
      <w:proofErr w:type="spellStart"/>
      <w:r w:rsidRPr="00FA23DA">
        <w:rPr>
          <w:rStyle w:val="Emphasis"/>
          <w:sz w:val="28"/>
          <w:szCs w:val="28"/>
        </w:rPr>
        <w:t>Legality</w:t>
      </w:r>
      <w:proofErr w:type="spellEnd"/>
      <w:r w:rsidRPr="00FA23DA">
        <w:rPr>
          <w:rStyle w:val="Emphasis"/>
          <w:sz w:val="28"/>
          <w:szCs w:val="28"/>
        </w:rPr>
        <w:t xml:space="preserve"> </w:t>
      </w:r>
      <w:proofErr w:type="spellStart"/>
      <w:r w:rsidRPr="00FA23DA">
        <w:rPr>
          <w:rStyle w:val="Emphasis"/>
          <w:sz w:val="28"/>
          <w:szCs w:val="28"/>
        </w:rPr>
        <w:t>in</w:t>
      </w:r>
      <w:proofErr w:type="spellEnd"/>
      <w:r w:rsidRPr="00FA23DA">
        <w:rPr>
          <w:rStyle w:val="Emphasis"/>
          <w:sz w:val="28"/>
          <w:szCs w:val="28"/>
        </w:rPr>
        <w:t xml:space="preserve"> </w:t>
      </w:r>
      <w:proofErr w:type="spellStart"/>
      <w:r w:rsidRPr="00FA23DA">
        <w:rPr>
          <w:rStyle w:val="Emphasis"/>
          <w:sz w:val="28"/>
          <w:szCs w:val="28"/>
        </w:rPr>
        <w:t>International</w:t>
      </w:r>
      <w:proofErr w:type="spellEnd"/>
      <w:r w:rsidRPr="00FA23DA">
        <w:rPr>
          <w:rStyle w:val="Emphasis"/>
          <w:sz w:val="28"/>
          <w:szCs w:val="28"/>
        </w:rPr>
        <w:t xml:space="preserve"> </w:t>
      </w:r>
      <w:proofErr w:type="spellStart"/>
      <w:r w:rsidRPr="00FA23DA">
        <w:rPr>
          <w:rStyle w:val="Emphasis"/>
          <w:sz w:val="28"/>
          <w:szCs w:val="28"/>
        </w:rPr>
        <w:t>Criminal</w:t>
      </w:r>
      <w:proofErr w:type="spellEnd"/>
      <w:r w:rsidRPr="00FA23DA">
        <w:rPr>
          <w:rStyle w:val="Emphasis"/>
          <w:sz w:val="28"/>
          <w:szCs w:val="28"/>
        </w:rPr>
        <w:t xml:space="preserve"> </w:t>
      </w:r>
      <w:proofErr w:type="spellStart"/>
      <w:r w:rsidRPr="00FA23DA">
        <w:rPr>
          <w:rStyle w:val="Emphasis"/>
          <w:sz w:val="28"/>
          <w:szCs w:val="28"/>
        </w:rPr>
        <w:t>Law</w:t>
      </w:r>
      <w:proofErr w:type="spellEnd"/>
      <w:r w:rsidRPr="00FA23DA">
        <w:rPr>
          <w:rStyle w:val="Emphasis"/>
          <w:sz w:val="28"/>
          <w:szCs w:val="28"/>
        </w:rPr>
        <w:t xml:space="preserve">: A </w:t>
      </w:r>
      <w:proofErr w:type="spellStart"/>
      <w:r w:rsidRPr="00FA23DA">
        <w:rPr>
          <w:rStyle w:val="Emphasis"/>
          <w:sz w:val="28"/>
          <w:szCs w:val="28"/>
        </w:rPr>
        <w:t>Human</w:t>
      </w:r>
      <w:proofErr w:type="spellEnd"/>
      <w:r w:rsidRPr="00FA23DA">
        <w:rPr>
          <w:rStyle w:val="Emphasis"/>
          <w:sz w:val="28"/>
          <w:szCs w:val="28"/>
        </w:rPr>
        <w:t xml:space="preserve"> </w:t>
      </w:r>
      <w:proofErr w:type="spellStart"/>
      <w:r w:rsidRPr="00FA23DA">
        <w:rPr>
          <w:rStyle w:val="Emphasis"/>
          <w:sz w:val="28"/>
          <w:szCs w:val="28"/>
        </w:rPr>
        <w:t>Rights</w:t>
      </w:r>
      <w:proofErr w:type="spellEnd"/>
      <w:r w:rsidRPr="00FA23DA">
        <w:rPr>
          <w:rStyle w:val="Emphasis"/>
          <w:sz w:val="28"/>
          <w:szCs w:val="28"/>
        </w:rPr>
        <w:t xml:space="preserve"> Standard?</w:t>
      </w:r>
      <w:r w:rsidRPr="00FA23DA">
        <w:rPr>
          <w:sz w:val="28"/>
          <w:szCs w:val="28"/>
        </w:rPr>
        <w:t xml:space="preserve"> </w:t>
      </w:r>
      <w:proofErr w:type="spellStart"/>
      <w:r w:rsidRPr="00FA23DA">
        <w:rPr>
          <w:sz w:val="28"/>
          <w:szCs w:val="28"/>
        </w:rPr>
        <w:t>Lund</w:t>
      </w:r>
      <w:proofErr w:type="spellEnd"/>
      <w:r w:rsidRPr="00FA23DA">
        <w:rPr>
          <w:sz w:val="28"/>
          <w:szCs w:val="28"/>
        </w:rPr>
        <w:t xml:space="preserve">: </w:t>
      </w:r>
      <w:proofErr w:type="spellStart"/>
      <w:r w:rsidRPr="00FA23DA">
        <w:rPr>
          <w:sz w:val="28"/>
          <w:szCs w:val="28"/>
        </w:rPr>
        <w:t>Lund</w:t>
      </w:r>
      <w:proofErr w:type="spellEnd"/>
      <w:r w:rsidRPr="00FA23DA">
        <w:rPr>
          <w:sz w:val="28"/>
          <w:szCs w:val="28"/>
        </w:rPr>
        <w:t xml:space="preserve"> </w:t>
      </w:r>
      <w:proofErr w:type="spellStart"/>
      <w:r w:rsidRPr="00FA23DA">
        <w:rPr>
          <w:sz w:val="28"/>
          <w:szCs w:val="28"/>
        </w:rPr>
        <w:t>University</w:t>
      </w:r>
      <w:proofErr w:type="spellEnd"/>
      <w:r w:rsidRPr="00FA23DA">
        <w:rPr>
          <w:sz w:val="28"/>
          <w:szCs w:val="28"/>
        </w:rPr>
        <w:t>, 2005.</w:t>
      </w:r>
    </w:p>
    <w:p w14:paraId="7F6E399C" w14:textId="77777777" w:rsidR="00102533" w:rsidRPr="00FA23DA" w:rsidRDefault="00102533" w:rsidP="00FA23DA">
      <w:pPr>
        <w:pStyle w:val="ListParagraph"/>
        <w:spacing w:after="0" w:line="360" w:lineRule="auto"/>
        <w:jc w:val="center"/>
        <w:rPr>
          <w:rFonts w:ascii="Times New Roman" w:hAnsi="Times New Roman" w:cs="Times New Roman"/>
          <w:b/>
          <w:sz w:val="28"/>
          <w:szCs w:val="28"/>
        </w:rPr>
      </w:pPr>
      <w:proofErr w:type="spellStart"/>
      <w:r w:rsidRPr="00FA23DA">
        <w:rPr>
          <w:rFonts w:ascii="Times New Roman" w:hAnsi="Times New Roman" w:cs="Times New Roman"/>
          <w:b/>
          <w:sz w:val="28"/>
          <w:szCs w:val="28"/>
        </w:rPr>
        <w:t>References</w:t>
      </w:r>
      <w:proofErr w:type="spellEnd"/>
    </w:p>
    <w:p w14:paraId="621FD1FB" w14:textId="77777777" w:rsidR="00FA23DA" w:rsidRPr="00FA23DA" w:rsidRDefault="00FA23DA" w:rsidP="00FA23DA">
      <w:pPr>
        <w:pStyle w:val="NormalWeb"/>
        <w:spacing w:line="360" w:lineRule="auto"/>
        <w:rPr>
          <w:sz w:val="28"/>
          <w:szCs w:val="28"/>
        </w:rPr>
      </w:pPr>
      <w:proofErr w:type="spellStart"/>
      <w:r w:rsidRPr="00FA23DA">
        <w:rPr>
          <w:sz w:val="28"/>
          <w:szCs w:val="28"/>
        </w:rPr>
        <w:t>Antoshkina</w:t>
      </w:r>
      <w:proofErr w:type="spellEnd"/>
      <w:r w:rsidRPr="00FA23DA">
        <w:rPr>
          <w:sz w:val="28"/>
          <w:szCs w:val="28"/>
        </w:rPr>
        <w:t>, V. "</w:t>
      </w:r>
      <w:proofErr w:type="spellStart"/>
      <w:r w:rsidRPr="00FA23DA">
        <w:rPr>
          <w:sz w:val="28"/>
          <w:szCs w:val="28"/>
        </w:rPr>
        <w:t>Interpretation</w:t>
      </w:r>
      <w:proofErr w:type="spellEnd"/>
      <w:r w:rsidRPr="00FA23DA">
        <w:rPr>
          <w:sz w:val="28"/>
          <w:szCs w:val="28"/>
        </w:rPr>
        <w:t xml:space="preserve"> </w:t>
      </w:r>
      <w:proofErr w:type="spellStart"/>
      <w:r w:rsidRPr="00FA23DA">
        <w:rPr>
          <w:sz w:val="28"/>
          <w:szCs w:val="28"/>
        </w:rPr>
        <w:t>Features</w:t>
      </w:r>
      <w:proofErr w:type="spellEnd"/>
      <w:r w:rsidRPr="00FA23DA">
        <w:rPr>
          <w:sz w:val="28"/>
          <w:szCs w:val="28"/>
        </w:rPr>
        <w:t xml:space="preserve"> </w:t>
      </w:r>
      <w:proofErr w:type="spellStart"/>
      <w:r w:rsidRPr="00FA23DA">
        <w:rPr>
          <w:sz w:val="28"/>
          <w:szCs w:val="28"/>
        </w:rPr>
        <w:t>in</w:t>
      </w:r>
      <w:proofErr w:type="spellEnd"/>
      <w:r w:rsidRPr="00FA23DA">
        <w:rPr>
          <w:sz w:val="28"/>
          <w:szCs w:val="28"/>
        </w:rPr>
        <w:t xml:space="preserve"> </w:t>
      </w:r>
      <w:proofErr w:type="spellStart"/>
      <w:r w:rsidRPr="00FA23DA">
        <w:rPr>
          <w:sz w:val="28"/>
          <w:szCs w:val="28"/>
        </w:rPr>
        <w:t>the</w:t>
      </w:r>
      <w:proofErr w:type="spellEnd"/>
      <w:r w:rsidRPr="00FA23DA">
        <w:rPr>
          <w:sz w:val="28"/>
          <w:szCs w:val="28"/>
        </w:rPr>
        <w:t xml:space="preserve"> </w:t>
      </w:r>
      <w:proofErr w:type="spellStart"/>
      <w:r w:rsidRPr="00FA23DA">
        <w:rPr>
          <w:sz w:val="28"/>
          <w:szCs w:val="28"/>
        </w:rPr>
        <w:t>System</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Private</w:t>
      </w:r>
      <w:proofErr w:type="spellEnd"/>
      <w:r w:rsidRPr="00FA23DA">
        <w:rPr>
          <w:sz w:val="28"/>
          <w:szCs w:val="28"/>
        </w:rPr>
        <w:t xml:space="preserve"> </w:t>
      </w:r>
      <w:proofErr w:type="spellStart"/>
      <w:r w:rsidRPr="00FA23DA">
        <w:rPr>
          <w:sz w:val="28"/>
          <w:szCs w:val="28"/>
        </w:rPr>
        <w:t>Law</w:t>
      </w:r>
      <w:proofErr w:type="spellEnd"/>
      <w:r w:rsidRPr="00FA23DA">
        <w:rPr>
          <w:sz w:val="28"/>
          <w:szCs w:val="28"/>
        </w:rPr>
        <w:t xml:space="preserve">." </w:t>
      </w:r>
      <w:proofErr w:type="spellStart"/>
      <w:r w:rsidRPr="00FA23DA">
        <w:rPr>
          <w:rStyle w:val="Emphasis"/>
          <w:sz w:val="28"/>
          <w:szCs w:val="28"/>
        </w:rPr>
        <w:t>Legal</w:t>
      </w:r>
      <w:proofErr w:type="spellEnd"/>
      <w:r w:rsidRPr="00FA23DA">
        <w:rPr>
          <w:rStyle w:val="Emphasis"/>
          <w:sz w:val="28"/>
          <w:szCs w:val="28"/>
        </w:rPr>
        <w:t xml:space="preserve"> </w:t>
      </w:r>
      <w:proofErr w:type="spellStart"/>
      <w:r w:rsidRPr="00FA23DA">
        <w:rPr>
          <w:rStyle w:val="Emphasis"/>
          <w:sz w:val="28"/>
          <w:szCs w:val="28"/>
        </w:rPr>
        <w:t>Position</w:t>
      </w:r>
      <w:proofErr w:type="spellEnd"/>
      <w:r w:rsidRPr="00FA23DA">
        <w:rPr>
          <w:sz w:val="28"/>
          <w:szCs w:val="28"/>
        </w:rPr>
        <w:t xml:space="preserve"> 3 (2020): 7–12. URL: </w:t>
      </w:r>
      <w:hyperlink r:id="rId25" w:tgtFrame="_new" w:history="1">
        <w:r w:rsidRPr="00FA23DA">
          <w:rPr>
            <w:rStyle w:val="Hyperlink"/>
            <w:sz w:val="28"/>
            <w:szCs w:val="28"/>
          </w:rPr>
          <w:t>https://legalposition.umsf.in.ua/archive/2020/3/1.pdf</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79C7715B" w14:textId="77777777" w:rsidR="00FA23DA" w:rsidRPr="00FA23DA" w:rsidRDefault="00FA23DA" w:rsidP="00FA23DA">
      <w:pPr>
        <w:pStyle w:val="NormalWeb"/>
        <w:spacing w:line="360" w:lineRule="auto"/>
        <w:rPr>
          <w:sz w:val="28"/>
          <w:szCs w:val="28"/>
        </w:rPr>
      </w:pPr>
      <w:proofErr w:type="spellStart"/>
      <w:r w:rsidRPr="00FA23DA">
        <w:rPr>
          <w:sz w:val="28"/>
          <w:szCs w:val="28"/>
        </w:rPr>
        <w:t>Aristotle</w:t>
      </w:r>
      <w:proofErr w:type="spellEnd"/>
      <w:r w:rsidRPr="00FA23DA">
        <w:rPr>
          <w:sz w:val="28"/>
          <w:szCs w:val="28"/>
        </w:rPr>
        <w:t xml:space="preserve">. </w:t>
      </w:r>
      <w:proofErr w:type="spellStart"/>
      <w:r w:rsidRPr="00FA23DA">
        <w:rPr>
          <w:rStyle w:val="Emphasis"/>
          <w:sz w:val="28"/>
          <w:szCs w:val="28"/>
        </w:rPr>
        <w:t>Politics</w:t>
      </w:r>
      <w:proofErr w:type="spellEnd"/>
      <w:r w:rsidRPr="00FA23DA">
        <w:rPr>
          <w:sz w:val="28"/>
          <w:szCs w:val="28"/>
        </w:rPr>
        <w:t xml:space="preserve">. </w:t>
      </w:r>
      <w:proofErr w:type="spellStart"/>
      <w:r w:rsidRPr="00FA23DA">
        <w:rPr>
          <w:sz w:val="28"/>
          <w:szCs w:val="28"/>
        </w:rPr>
        <w:t>Translated</w:t>
      </w:r>
      <w:proofErr w:type="spellEnd"/>
      <w:r w:rsidRPr="00FA23DA">
        <w:rPr>
          <w:sz w:val="28"/>
          <w:szCs w:val="28"/>
        </w:rPr>
        <w:t xml:space="preserve"> </w:t>
      </w:r>
      <w:proofErr w:type="spellStart"/>
      <w:r w:rsidRPr="00FA23DA">
        <w:rPr>
          <w:sz w:val="28"/>
          <w:szCs w:val="28"/>
        </w:rPr>
        <w:t>from</w:t>
      </w:r>
      <w:proofErr w:type="spellEnd"/>
      <w:r w:rsidRPr="00FA23DA">
        <w:rPr>
          <w:sz w:val="28"/>
          <w:szCs w:val="28"/>
        </w:rPr>
        <w:t xml:space="preserve"> </w:t>
      </w:r>
      <w:proofErr w:type="spellStart"/>
      <w:r w:rsidRPr="00FA23DA">
        <w:rPr>
          <w:sz w:val="28"/>
          <w:szCs w:val="28"/>
        </w:rPr>
        <w:t>Ancient</w:t>
      </w:r>
      <w:proofErr w:type="spellEnd"/>
      <w:r w:rsidRPr="00FA23DA">
        <w:rPr>
          <w:sz w:val="28"/>
          <w:szCs w:val="28"/>
        </w:rPr>
        <w:t xml:space="preserve"> </w:t>
      </w:r>
      <w:proofErr w:type="spellStart"/>
      <w:r w:rsidRPr="00FA23DA">
        <w:rPr>
          <w:sz w:val="28"/>
          <w:szCs w:val="28"/>
        </w:rPr>
        <w:t>Greek</w:t>
      </w:r>
      <w:proofErr w:type="spellEnd"/>
      <w:r w:rsidRPr="00FA23DA">
        <w:rPr>
          <w:sz w:val="28"/>
          <w:szCs w:val="28"/>
        </w:rPr>
        <w:t xml:space="preserve"> </w:t>
      </w:r>
      <w:proofErr w:type="spellStart"/>
      <w:r w:rsidRPr="00FA23DA">
        <w:rPr>
          <w:sz w:val="28"/>
          <w:szCs w:val="28"/>
        </w:rPr>
        <w:t>by</w:t>
      </w:r>
      <w:proofErr w:type="spellEnd"/>
      <w:r w:rsidRPr="00FA23DA">
        <w:rPr>
          <w:sz w:val="28"/>
          <w:szCs w:val="28"/>
        </w:rPr>
        <w:t xml:space="preserve"> O. </w:t>
      </w:r>
      <w:proofErr w:type="spellStart"/>
      <w:r w:rsidRPr="00FA23DA">
        <w:rPr>
          <w:sz w:val="28"/>
          <w:szCs w:val="28"/>
        </w:rPr>
        <w:t>Kysliuk</w:t>
      </w:r>
      <w:proofErr w:type="spellEnd"/>
      <w:r w:rsidRPr="00FA23DA">
        <w:rPr>
          <w:sz w:val="28"/>
          <w:szCs w:val="28"/>
        </w:rPr>
        <w:t xml:space="preserve">. </w:t>
      </w:r>
      <w:proofErr w:type="spellStart"/>
      <w:r w:rsidRPr="00FA23DA">
        <w:rPr>
          <w:sz w:val="28"/>
          <w:szCs w:val="28"/>
        </w:rPr>
        <w:t>Kyiv</w:t>
      </w:r>
      <w:proofErr w:type="spellEnd"/>
      <w:r w:rsidRPr="00FA23DA">
        <w:rPr>
          <w:sz w:val="28"/>
          <w:szCs w:val="28"/>
        </w:rPr>
        <w:t>, 2000.</w:t>
      </w:r>
    </w:p>
    <w:p w14:paraId="7354B4D4" w14:textId="77777777" w:rsidR="00FA23DA" w:rsidRPr="00FA23DA" w:rsidRDefault="00FA23DA" w:rsidP="00FA23DA">
      <w:pPr>
        <w:pStyle w:val="NormalWeb"/>
        <w:spacing w:line="360" w:lineRule="auto"/>
        <w:rPr>
          <w:sz w:val="28"/>
          <w:szCs w:val="28"/>
        </w:rPr>
      </w:pPr>
      <w:proofErr w:type="spellStart"/>
      <w:r w:rsidRPr="00FA23DA">
        <w:rPr>
          <w:sz w:val="28"/>
          <w:szCs w:val="28"/>
        </w:rPr>
        <w:t>Asmus</w:t>
      </w:r>
      <w:proofErr w:type="spellEnd"/>
      <w:r w:rsidRPr="00FA23DA">
        <w:rPr>
          <w:sz w:val="28"/>
          <w:szCs w:val="28"/>
        </w:rPr>
        <w:t xml:space="preserve">, V. F. </w:t>
      </w:r>
      <w:proofErr w:type="spellStart"/>
      <w:r w:rsidRPr="00FA23DA">
        <w:rPr>
          <w:rStyle w:val="Emphasis"/>
          <w:sz w:val="28"/>
          <w:szCs w:val="28"/>
        </w:rPr>
        <w:t>Logic</w:t>
      </w:r>
      <w:proofErr w:type="spellEnd"/>
      <w:r w:rsidRPr="00FA23DA">
        <w:rPr>
          <w:sz w:val="28"/>
          <w:szCs w:val="28"/>
        </w:rPr>
        <w:t xml:space="preserve">. </w:t>
      </w:r>
      <w:proofErr w:type="spellStart"/>
      <w:r w:rsidRPr="00FA23DA">
        <w:rPr>
          <w:sz w:val="28"/>
          <w:szCs w:val="28"/>
        </w:rPr>
        <w:t>Moscow</w:t>
      </w:r>
      <w:proofErr w:type="spellEnd"/>
      <w:r w:rsidRPr="00FA23DA">
        <w:rPr>
          <w:sz w:val="28"/>
          <w:szCs w:val="28"/>
        </w:rPr>
        <w:t xml:space="preserve">: </w:t>
      </w:r>
      <w:proofErr w:type="spellStart"/>
      <w:r w:rsidRPr="00FA23DA">
        <w:rPr>
          <w:sz w:val="28"/>
          <w:szCs w:val="28"/>
        </w:rPr>
        <w:t>State</w:t>
      </w:r>
      <w:proofErr w:type="spellEnd"/>
      <w:r w:rsidRPr="00FA23DA">
        <w:rPr>
          <w:sz w:val="28"/>
          <w:szCs w:val="28"/>
        </w:rPr>
        <w:t xml:space="preserve"> </w:t>
      </w:r>
      <w:proofErr w:type="spellStart"/>
      <w:r w:rsidRPr="00FA23DA">
        <w:rPr>
          <w:sz w:val="28"/>
          <w:szCs w:val="28"/>
        </w:rPr>
        <w:t>Publishing</w:t>
      </w:r>
      <w:proofErr w:type="spellEnd"/>
      <w:r w:rsidRPr="00FA23DA">
        <w:rPr>
          <w:sz w:val="28"/>
          <w:szCs w:val="28"/>
        </w:rPr>
        <w:t xml:space="preserve"> </w:t>
      </w:r>
      <w:proofErr w:type="spellStart"/>
      <w:r w:rsidRPr="00FA23DA">
        <w:rPr>
          <w:sz w:val="28"/>
          <w:szCs w:val="28"/>
        </w:rPr>
        <w:t>House</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Political</w:t>
      </w:r>
      <w:proofErr w:type="spellEnd"/>
      <w:r w:rsidRPr="00FA23DA">
        <w:rPr>
          <w:sz w:val="28"/>
          <w:szCs w:val="28"/>
        </w:rPr>
        <w:t xml:space="preserve"> </w:t>
      </w:r>
      <w:proofErr w:type="spellStart"/>
      <w:r w:rsidRPr="00FA23DA">
        <w:rPr>
          <w:sz w:val="28"/>
          <w:szCs w:val="28"/>
        </w:rPr>
        <w:t>Literature</w:t>
      </w:r>
      <w:proofErr w:type="spellEnd"/>
      <w:r w:rsidRPr="00FA23DA">
        <w:rPr>
          <w:sz w:val="28"/>
          <w:szCs w:val="28"/>
        </w:rPr>
        <w:t>, 1947.</w:t>
      </w:r>
    </w:p>
    <w:p w14:paraId="13AA2420" w14:textId="77777777" w:rsidR="00FA23DA" w:rsidRPr="00FA23DA" w:rsidRDefault="00FA23DA" w:rsidP="00FA23DA">
      <w:pPr>
        <w:pStyle w:val="NormalWeb"/>
        <w:spacing w:line="360" w:lineRule="auto"/>
        <w:rPr>
          <w:sz w:val="28"/>
          <w:szCs w:val="28"/>
        </w:rPr>
      </w:pPr>
      <w:proofErr w:type="spellStart"/>
      <w:r w:rsidRPr="00FA23DA">
        <w:rPr>
          <w:sz w:val="28"/>
          <w:szCs w:val="28"/>
        </w:rPr>
        <w:t>Balynska</w:t>
      </w:r>
      <w:proofErr w:type="spellEnd"/>
      <w:r w:rsidRPr="00FA23DA">
        <w:rPr>
          <w:sz w:val="28"/>
          <w:szCs w:val="28"/>
        </w:rPr>
        <w:t xml:space="preserve">, O. M. </w:t>
      </w:r>
      <w:proofErr w:type="spellStart"/>
      <w:r w:rsidRPr="00FA23DA">
        <w:rPr>
          <w:rStyle w:val="Emphasis"/>
          <w:sz w:val="28"/>
          <w:szCs w:val="28"/>
        </w:rPr>
        <w:t>Problems</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Interpretation</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Legal</w:t>
      </w:r>
      <w:proofErr w:type="spellEnd"/>
      <w:r w:rsidRPr="00FA23DA">
        <w:rPr>
          <w:rStyle w:val="Emphasis"/>
          <w:sz w:val="28"/>
          <w:szCs w:val="28"/>
        </w:rPr>
        <w:t xml:space="preserve"> </w:t>
      </w:r>
      <w:proofErr w:type="spellStart"/>
      <w:r w:rsidRPr="00FA23DA">
        <w:rPr>
          <w:rStyle w:val="Emphasis"/>
          <w:sz w:val="28"/>
          <w:szCs w:val="28"/>
        </w:rPr>
        <w:t>Provisions</w:t>
      </w:r>
      <w:proofErr w:type="spellEnd"/>
      <w:r w:rsidRPr="00FA23DA">
        <w:rPr>
          <w:sz w:val="28"/>
          <w:szCs w:val="28"/>
        </w:rPr>
        <w:t xml:space="preserve">. </w:t>
      </w:r>
      <w:proofErr w:type="spellStart"/>
      <w:r w:rsidRPr="00FA23DA">
        <w:rPr>
          <w:sz w:val="28"/>
          <w:szCs w:val="28"/>
        </w:rPr>
        <w:t>Lviv</w:t>
      </w:r>
      <w:proofErr w:type="spellEnd"/>
      <w:r w:rsidRPr="00FA23DA">
        <w:rPr>
          <w:sz w:val="28"/>
          <w:szCs w:val="28"/>
        </w:rPr>
        <w:t>, 2021.</w:t>
      </w:r>
    </w:p>
    <w:p w14:paraId="0138A3E4" w14:textId="77777777" w:rsidR="00FA23DA" w:rsidRPr="00FA23DA" w:rsidRDefault="00FA23DA" w:rsidP="00FA23DA">
      <w:pPr>
        <w:pStyle w:val="NormalWeb"/>
        <w:spacing w:line="360" w:lineRule="auto"/>
        <w:rPr>
          <w:sz w:val="28"/>
          <w:szCs w:val="28"/>
        </w:rPr>
      </w:pPr>
      <w:proofErr w:type="spellStart"/>
      <w:r w:rsidRPr="00FA23DA">
        <w:rPr>
          <w:sz w:val="28"/>
          <w:szCs w:val="28"/>
        </w:rPr>
        <w:lastRenderedPageBreak/>
        <w:t>Bondar</w:t>
      </w:r>
      <w:proofErr w:type="spellEnd"/>
      <w:r w:rsidRPr="00FA23DA">
        <w:rPr>
          <w:sz w:val="28"/>
          <w:szCs w:val="28"/>
        </w:rPr>
        <w:t>, O. V. "</w:t>
      </w:r>
      <w:proofErr w:type="spellStart"/>
      <w:r w:rsidRPr="00FA23DA">
        <w:rPr>
          <w:sz w:val="28"/>
          <w:szCs w:val="28"/>
        </w:rPr>
        <w:t>Legal</w:t>
      </w:r>
      <w:proofErr w:type="spellEnd"/>
      <w:r w:rsidRPr="00FA23DA">
        <w:rPr>
          <w:sz w:val="28"/>
          <w:szCs w:val="28"/>
        </w:rPr>
        <w:t xml:space="preserve"> </w:t>
      </w:r>
      <w:proofErr w:type="spellStart"/>
      <w:r w:rsidRPr="00FA23DA">
        <w:rPr>
          <w:sz w:val="28"/>
          <w:szCs w:val="28"/>
        </w:rPr>
        <w:t>Basis</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the</w:t>
      </w:r>
      <w:proofErr w:type="spellEnd"/>
      <w:r w:rsidRPr="00FA23DA">
        <w:rPr>
          <w:sz w:val="28"/>
          <w:szCs w:val="28"/>
        </w:rPr>
        <w:t xml:space="preserve"> </w:t>
      </w:r>
      <w:proofErr w:type="spellStart"/>
      <w:r w:rsidRPr="00FA23DA">
        <w:rPr>
          <w:sz w:val="28"/>
          <w:szCs w:val="28"/>
        </w:rPr>
        <w:t>Analogy</w:t>
      </w:r>
      <w:proofErr w:type="spellEnd"/>
      <w:r w:rsidRPr="00FA23DA">
        <w:rPr>
          <w:sz w:val="28"/>
          <w:szCs w:val="28"/>
        </w:rPr>
        <w:t xml:space="preserve"> </w:t>
      </w:r>
      <w:proofErr w:type="spellStart"/>
      <w:r w:rsidRPr="00FA23DA">
        <w:rPr>
          <w:sz w:val="28"/>
          <w:szCs w:val="28"/>
        </w:rPr>
        <w:t>Institute</w:t>
      </w:r>
      <w:proofErr w:type="spellEnd"/>
      <w:r w:rsidRPr="00FA23DA">
        <w:rPr>
          <w:sz w:val="28"/>
          <w:szCs w:val="28"/>
        </w:rPr>
        <w:t xml:space="preserve"> </w:t>
      </w:r>
      <w:proofErr w:type="spellStart"/>
      <w:r w:rsidRPr="00FA23DA">
        <w:rPr>
          <w:sz w:val="28"/>
          <w:szCs w:val="28"/>
        </w:rPr>
        <w:t>in</w:t>
      </w:r>
      <w:proofErr w:type="spellEnd"/>
      <w:r w:rsidRPr="00FA23DA">
        <w:rPr>
          <w:sz w:val="28"/>
          <w:szCs w:val="28"/>
        </w:rPr>
        <w:t xml:space="preserve"> </w:t>
      </w:r>
      <w:proofErr w:type="spellStart"/>
      <w:r w:rsidRPr="00FA23DA">
        <w:rPr>
          <w:sz w:val="28"/>
          <w:szCs w:val="28"/>
        </w:rPr>
        <w:t>the</w:t>
      </w:r>
      <w:proofErr w:type="spellEnd"/>
      <w:r w:rsidRPr="00FA23DA">
        <w:rPr>
          <w:sz w:val="28"/>
          <w:szCs w:val="28"/>
        </w:rPr>
        <w:t xml:space="preserve"> </w:t>
      </w:r>
      <w:proofErr w:type="spellStart"/>
      <w:r w:rsidRPr="00FA23DA">
        <w:rPr>
          <w:sz w:val="28"/>
          <w:szCs w:val="28"/>
        </w:rPr>
        <w:t>Criminal</w:t>
      </w:r>
      <w:proofErr w:type="spellEnd"/>
      <w:r w:rsidRPr="00FA23DA">
        <w:rPr>
          <w:sz w:val="28"/>
          <w:szCs w:val="28"/>
        </w:rPr>
        <w:t xml:space="preserve"> </w:t>
      </w:r>
      <w:proofErr w:type="spellStart"/>
      <w:r w:rsidRPr="00FA23DA">
        <w:rPr>
          <w:sz w:val="28"/>
          <w:szCs w:val="28"/>
        </w:rPr>
        <w:t>Procedure</w:t>
      </w:r>
      <w:proofErr w:type="spellEnd"/>
      <w:r w:rsidRPr="00FA23DA">
        <w:rPr>
          <w:sz w:val="28"/>
          <w:szCs w:val="28"/>
        </w:rPr>
        <w:t xml:space="preserve">." </w:t>
      </w:r>
      <w:proofErr w:type="spellStart"/>
      <w:r w:rsidRPr="00FA23DA">
        <w:rPr>
          <w:rStyle w:val="Emphasis"/>
          <w:sz w:val="28"/>
          <w:szCs w:val="28"/>
        </w:rPr>
        <w:t>Current</w:t>
      </w:r>
      <w:proofErr w:type="spellEnd"/>
      <w:r w:rsidRPr="00FA23DA">
        <w:rPr>
          <w:rStyle w:val="Emphasis"/>
          <w:sz w:val="28"/>
          <w:szCs w:val="28"/>
        </w:rPr>
        <w:t xml:space="preserve"> </w:t>
      </w:r>
      <w:proofErr w:type="spellStart"/>
      <w:r w:rsidRPr="00FA23DA">
        <w:rPr>
          <w:rStyle w:val="Emphasis"/>
          <w:sz w:val="28"/>
          <w:szCs w:val="28"/>
        </w:rPr>
        <w:t>Issues</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Improving</w:t>
      </w:r>
      <w:proofErr w:type="spellEnd"/>
      <w:r w:rsidRPr="00FA23DA">
        <w:rPr>
          <w:rStyle w:val="Emphasis"/>
          <w:sz w:val="28"/>
          <w:szCs w:val="28"/>
        </w:rPr>
        <w:t xml:space="preserve"> </w:t>
      </w:r>
      <w:proofErr w:type="spellStart"/>
      <w:r w:rsidRPr="00FA23DA">
        <w:rPr>
          <w:rStyle w:val="Emphasis"/>
          <w:sz w:val="28"/>
          <w:szCs w:val="28"/>
        </w:rPr>
        <w:t>the</w:t>
      </w:r>
      <w:proofErr w:type="spellEnd"/>
      <w:r w:rsidRPr="00FA23DA">
        <w:rPr>
          <w:rStyle w:val="Emphasis"/>
          <w:sz w:val="28"/>
          <w:szCs w:val="28"/>
        </w:rPr>
        <w:t xml:space="preserve"> </w:t>
      </w:r>
      <w:proofErr w:type="spellStart"/>
      <w:r w:rsidRPr="00FA23DA">
        <w:rPr>
          <w:rStyle w:val="Emphasis"/>
          <w:sz w:val="28"/>
          <w:szCs w:val="28"/>
        </w:rPr>
        <w:t>Current</w:t>
      </w:r>
      <w:proofErr w:type="spellEnd"/>
      <w:r w:rsidRPr="00FA23DA">
        <w:rPr>
          <w:rStyle w:val="Emphasis"/>
          <w:sz w:val="28"/>
          <w:szCs w:val="28"/>
        </w:rPr>
        <w:t xml:space="preserve"> </w:t>
      </w:r>
      <w:proofErr w:type="spellStart"/>
      <w:r w:rsidRPr="00FA23DA">
        <w:rPr>
          <w:rStyle w:val="Emphasis"/>
          <w:sz w:val="28"/>
          <w:szCs w:val="28"/>
        </w:rPr>
        <w:t>Legislation</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Ukraine</w:t>
      </w:r>
      <w:proofErr w:type="spellEnd"/>
      <w:r w:rsidRPr="00FA23DA">
        <w:rPr>
          <w:sz w:val="28"/>
          <w:szCs w:val="28"/>
        </w:rPr>
        <w:t xml:space="preserve"> 21 (2009): 246–251. URL: </w:t>
      </w:r>
      <w:hyperlink r:id="rId26" w:tgtFrame="_new" w:history="1">
        <w:r w:rsidRPr="00FA23DA">
          <w:rPr>
            <w:rStyle w:val="Hyperlink"/>
            <w:sz w:val="28"/>
            <w:szCs w:val="28"/>
          </w:rPr>
          <w:t>http://nbuv.gov.ua/UJRN/apvchzu_2009_21_40</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74F40125" w14:textId="77777777" w:rsidR="00FA23DA" w:rsidRPr="00FA23DA" w:rsidRDefault="00FA23DA" w:rsidP="00FA23DA">
      <w:pPr>
        <w:pStyle w:val="NormalWeb"/>
        <w:spacing w:line="360" w:lineRule="auto"/>
        <w:rPr>
          <w:sz w:val="28"/>
          <w:szCs w:val="28"/>
        </w:rPr>
      </w:pPr>
      <w:proofErr w:type="spellStart"/>
      <w:r w:rsidRPr="00FA23DA">
        <w:rPr>
          <w:sz w:val="28"/>
          <w:szCs w:val="28"/>
        </w:rPr>
        <w:t>Bruns</w:t>
      </w:r>
      <w:proofErr w:type="spellEnd"/>
      <w:r w:rsidRPr="00FA23DA">
        <w:rPr>
          <w:sz w:val="28"/>
          <w:szCs w:val="28"/>
        </w:rPr>
        <w:t xml:space="preserve">, G. L. </w:t>
      </w:r>
      <w:proofErr w:type="spellStart"/>
      <w:r w:rsidRPr="00FA23DA">
        <w:rPr>
          <w:rStyle w:val="Emphasis"/>
          <w:sz w:val="28"/>
          <w:szCs w:val="28"/>
        </w:rPr>
        <w:t>Law</w:t>
      </w:r>
      <w:proofErr w:type="spellEnd"/>
      <w:r w:rsidRPr="00FA23DA">
        <w:rPr>
          <w:rStyle w:val="Emphasis"/>
          <w:sz w:val="28"/>
          <w:szCs w:val="28"/>
        </w:rPr>
        <w:t xml:space="preserve"> </w:t>
      </w:r>
      <w:proofErr w:type="spellStart"/>
      <w:r w:rsidRPr="00FA23DA">
        <w:rPr>
          <w:rStyle w:val="Emphasis"/>
          <w:sz w:val="28"/>
          <w:szCs w:val="28"/>
        </w:rPr>
        <w:t>and</w:t>
      </w:r>
      <w:proofErr w:type="spellEnd"/>
      <w:r w:rsidRPr="00FA23DA">
        <w:rPr>
          <w:rStyle w:val="Emphasis"/>
          <w:sz w:val="28"/>
          <w:szCs w:val="28"/>
        </w:rPr>
        <w:t xml:space="preserve"> </w:t>
      </w:r>
      <w:proofErr w:type="spellStart"/>
      <w:r w:rsidRPr="00FA23DA">
        <w:rPr>
          <w:rStyle w:val="Emphasis"/>
          <w:sz w:val="28"/>
          <w:szCs w:val="28"/>
        </w:rPr>
        <w:t>Language</w:t>
      </w:r>
      <w:proofErr w:type="spellEnd"/>
      <w:r w:rsidRPr="00FA23DA">
        <w:rPr>
          <w:rStyle w:val="Emphasis"/>
          <w:sz w:val="28"/>
          <w:szCs w:val="28"/>
        </w:rPr>
        <w:t xml:space="preserve">: </w:t>
      </w:r>
      <w:proofErr w:type="spellStart"/>
      <w:r w:rsidRPr="00FA23DA">
        <w:rPr>
          <w:rStyle w:val="Emphasis"/>
          <w:sz w:val="28"/>
          <w:szCs w:val="28"/>
        </w:rPr>
        <w:t>Hermeneutics</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the</w:t>
      </w:r>
      <w:proofErr w:type="spellEnd"/>
      <w:r w:rsidRPr="00FA23DA">
        <w:rPr>
          <w:rStyle w:val="Emphasis"/>
          <w:sz w:val="28"/>
          <w:szCs w:val="28"/>
        </w:rPr>
        <w:t xml:space="preserve"> </w:t>
      </w:r>
      <w:proofErr w:type="spellStart"/>
      <w:r w:rsidRPr="00FA23DA">
        <w:rPr>
          <w:rStyle w:val="Emphasis"/>
          <w:sz w:val="28"/>
          <w:szCs w:val="28"/>
        </w:rPr>
        <w:t>Legal</w:t>
      </w:r>
      <w:proofErr w:type="spellEnd"/>
      <w:r w:rsidRPr="00FA23DA">
        <w:rPr>
          <w:rStyle w:val="Emphasis"/>
          <w:sz w:val="28"/>
          <w:szCs w:val="28"/>
        </w:rPr>
        <w:t xml:space="preserve"> </w:t>
      </w:r>
      <w:proofErr w:type="spellStart"/>
      <w:r w:rsidRPr="00FA23DA">
        <w:rPr>
          <w:rStyle w:val="Emphasis"/>
          <w:sz w:val="28"/>
          <w:szCs w:val="28"/>
        </w:rPr>
        <w:t>Text</w:t>
      </w:r>
      <w:proofErr w:type="spellEnd"/>
      <w:r w:rsidRPr="00FA23DA">
        <w:rPr>
          <w:sz w:val="28"/>
          <w:szCs w:val="28"/>
        </w:rPr>
        <w:t xml:space="preserve">. </w:t>
      </w:r>
      <w:proofErr w:type="spellStart"/>
      <w:r w:rsidRPr="00FA23DA">
        <w:rPr>
          <w:sz w:val="28"/>
          <w:szCs w:val="28"/>
        </w:rPr>
        <w:t>Berkeley</w:t>
      </w:r>
      <w:proofErr w:type="spellEnd"/>
      <w:r w:rsidRPr="00FA23DA">
        <w:rPr>
          <w:sz w:val="28"/>
          <w:szCs w:val="28"/>
        </w:rPr>
        <w:t xml:space="preserve">: </w:t>
      </w:r>
      <w:proofErr w:type="spellStart"/>
      <w:r w:rsidRPr="00FA23DA">
        <w:rPr>
          <w:sz w:val="28"/>
          <w:szCs w:val="28"/>
        </w:rPr>
        <w:t>University</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California</w:t>
      </w:r>
      <w:proofErr w:type="spellEnd"/>
      <w:r w:rsidRPr="00FA23DA">
        <w:rPr>
          <w:sz w:val="28"/>
          <w:szCs w:val="28"/>
        </w:rPr>
        <w:t xml:space="preserve"> </w:t>
      </w:r>
      <w:proofErr w:type="spellStart"/>
      <w:r w:rsidRPr="00FA23DA">
        <w:rPr>
          <w:sz w:val="28"/>
          <w:szCs w:val="28"/>
        </w:rPr>
        <w:t>Press</w:t>
      </w:r>
      <w:proofErr w:type="spellEnd"/>
      <w:r w:rsidRPr="00FA23DA">
        <w:rPr>
          <w:sz w:val="28"/>
          <w:szCs w:val="28"/>
        </w:rPr>
        <w:t>, 1992.</w:t>
      </w:r>
    </w:p>
    <w:p w14:paraId="4FDCE5CC" w14:textId="77777777" w:rsidR="00FA23DA" w:rsidRPr="00FA23DA" w:rsidRDefault="00FA23DA" w:rsidP="00FA23DA">
      <w:pPr>
        <w:pStyle w:val="NormalWeb"/>
        <w:spacing w:line="360" w:lineRule="auto"/>
        <w:rPr>
          <w:sz w:val="28"/>
          <w:szCs w:val="28"/>
        </w:rPr>
      </w:pPr>
      <w:proofErr w:type="spellStart"/>
      <w:r w:rsidRPr="00FA23DA">
        <w:rPr>
          <w:sz w:val="28"/>
          <w:szCs w:val="28"/>
        </w:rPr>
        <w:t>Canale</w:t>
      </w:r>
      <w:proofErr w:type="spellEnd"/>
      <w:r w:rsidRPr="00FA23DA">
        <w:rPr>
          <w:sz w:val="28"/>
          <w:szCs w:val="28"/>
        </w:rPr>
        <w:t xml:space="preserve">, D., </w:t>
      </w:r>
      <w:proofErr w:type="spellStart"/>
      <w:r w:rsidRPr="00FA23DA">
        <w:rPr>
          <w:sz w:val="28"/>
          <w:szCs w:val="28"/>
        </w:rPr>
        <w:t>and</w:t>
      </w:r>
      <w:proofErr w:type="spellEnd"/>
      <w:r w:rsidRPr="00FA23DA">
        <w:rPr>
          <w:sz w:val="28"/>
          <w:szCs w:val="28"/>
        </w:rPr>
        <w:t xml:space="preserve"> G. </w:t>
      </w:r>
      <w:proofErr w:type="spellStart"/>
      <w:r w:rsidRPr="00FA23DA">
        <w:rPr>
          <w:sz w:val="28"/>
          <w:szCs w:val="28"/>
        </w:rPr>
        <w:t>Tuzet</w:t>
      </w:r>
      <w:proofErr w:type="spellEnd"/>
      <w:r w:rsidRPr="00FA23DA">
        <w:rPr>
          <w:sz w:val="28"/>
          <w:szCs w:val="28"/>
        </w:rPr>
        <w:t>. "</w:t>
      </w:r>
      <w:proofErr w:type="spellStart"/>
      <w:r w:rsidRPr="00FA23DA">
        <w:rPr>
          <w:sz w:val="28"/>
          <w:szCs w:val="28"/>
        </w:rPr>
        <w:t>Analogical</w:t>
      </w:r>
      <w:proofErr w:type="spellEnd"/>
      <w:r w:rsidRPr="00FA23DA">
        <w:rPr>
          <w:sz w:val="28"/>
          <w:szCs w:val="28"/>
        </w:rPr>
        <w:t xml:space="preserve"> </w:t>
      </w:r>
      <w:proofErr w:type="spellStart"/>
      <w:r w:rsidRPr="00FA23DA">
        <w:rPr>
          <w:sz w:val="28"/>
          <w:szCs w:val="28"/>
        </w:rPr>
        <w:t>Reasoning</w:t>
      </w:r>
      <w:proofErr w:type="spellEnd"/>
      <w:r w:rsidRPr="00FA23DA">
        <w:rPr>
          <w:sz w:val="28"/>
          <w:szCs w:val="28"/>
        </w:rPr>
        <w:t xml:space="preserve"> </w:t>
      </w:r>
      <w:proofErr w:type="spellStart"/>
      <w:r w:rsidRPr="00FA23DA">
        <w:rPr>
          <w:sz w:val="28"/>
          <w:szCs w:val="28"/>
        </w:rPr>
        <w:t>and</w:t>
      </w:r>
      <w:proofErr w:type="spellEnd"/>
      <w:r w:rsidRPr="00FA23DA">
        <w:rPr>
          <w:sz w:val="28"/>
          <w:szCs w:val="28"/>
        </w:rPr>
        <w:t xml:space="preserve"> </w:t>
      </w:r>
      <w:proofErr w:type="spellStart"/>
      <w:r w:rsidRPr="00FA23DA">
        <w:rPr>
          <w:sz w:val="28"/>
          <w:szCs w:val="28"/>
        </w:rPr>
        <w:t>Extensive</w:t>
      </w:r>
      <w:proofErr w:type="spellEnd"/>
      <w:r w:rsidRPr="00FA23DA">
        <w:rPr>
          <w:sz w:val="28"/>
          <w:szCs w:val="28"/>
        </w:rPr>
        <w:t xml:space="preserve"> </w:t>
      </w:r>
      <w:proofErr w:type="spellStart"/>
      <w:r w:rsidRPr="00FA23DA">
        <w:rPr>
          <w:sz w:val="28"/>
          <w:szCs w:val="28"/>
        </w:rPr>
        <w:t>Interpretation</w:t>
      </w:r>
      <w:proofErr w:type="spellEnd"/>
      <w:r w:rsidRPr="00FA23DA">
        <w:rPr>
          <w:sz w:val="28"/>
          <w:szCs w:val="28"/>
        </w:rPr>
        <w:t xml:space="preserve">." </w:t>
      </w:r>
      <w:proofErr w:type="spellStart"/>
      <w:r w:rsidRPr="00FA23DA">
        <w:rPr>
          <w:sz w:val="28"/>
          <w:szCs w:val="28"/>
        </w:rPr>
        <w:t>In</w:t>
      </w:r>
      <w:proofErr w:type="spellEnd"/>
      <w:r w:rsidRPr="00FA23DA">
        <w:rPr>
          <w:sz w:val="28"/>
          <w:szCs w:val="28"/>
        </w:rPr>
        <w:t xml:space="preserve"> </w:t>
      </w:r>
      <w:proofErr w:type="spellStart"/>
      <w:r w:rsidRPr="00FA23DA">
        <w:rPr>
          <w:rStyle w:val="Emphasis"/>
          <w:sz w:val="28"/>
          <w:szCs w:val="28"/>
        </w:rPr>
        <w:t>Law</w:t>
      </w:r>
      <w:proofErr w:type="spellEnd"/>
      <w:r w:rsidRPr="00FA23DA">
        <w:rPr>
          <w:rStyle w:val="Emphasis"/>
          <w:sz w:val="28"/>
          <w:szCs w:val="28"/>
        </w:rPr>
        <w:t xml:space="preserve"> </w:t>
      </w:r>
      <w:proofErr w:type="spellStart"/>
      <w:r w:rsidRPr="00FA23DA">
        <w:rPr>
          <w:rStyle w:val="Emphasis"/>
          <w:sz w:val="28"/>
          <w:szCs w:val="28"/>
        </w:rPr>
        <w:t>and</w:t>
      </w:r>
      <w:proofErr w:type="spellEnd"/>
      <w:r w:rsidRPr="00FA23DA">
        <w:rPr>
          <w:rStyle w:val="Emphasis"/>
          <w:sz w:val="28"/>
          <w:szCs w:val="28"/>
        </w:rPr>
        <w:t xml:space="preserve"> </w:t>
      </w:r>
      <w:proofErr w:type="spellStart"/>
      <w:r w:rsidRPr="00FA23DA">
        <w:rPr>
          <w:rStyle w:val="Emphasis"/>
          <w:sz w:val="28"/>
          <w:szCs w:val="28"/>
        </w:rPr>
        <w:t>Interpretation</w:t>
      </w:r>
      <w:proofErr w:type="spellEnd"/>
      <w:r w:rsidRPr="00FA23DA">
        <w:rPr>
          <w:sz w:val="28"/>
          <w:szCs w:val="28"/>
        </w:rPr>
        <w:t xml:space="preserve">, 65–86. </w:t>
      </w:r>
      <w:proofErr w:type="spellStart"/>
      <w:r w:rsidRPr="00FA23DA">
        <w:rPr>
          <w:sz w:val="28"/>
          <w:szCs w:val="28"/>
        </w:rPr>
        <w:t>Amsterdam</w:t>
      </w:r>
      <w:proofErr w:type="spellEnd"/>
      <w:r w:rsidRPr="00FA23DA">
        <w:rPr>
          <w:sz w:val="28"/>
          <w:szCs w:val="28"/>
        </w:rPr>
        <w:t xml:space="preserve">: </w:t>
      </w:r>
      <w:proofErr w:type="spellStart"/>
      <w:r w:rsidRPr="00FA23DA">
        <w:rPr>
          <w:sz w:val="28"/>
          <w:szCs w:val="28"/>
        </w:rPr>
        <w:t>Amsterdam</w:t>
      </w:r>
      <w:proofErr w:type="spellEnd"/>
      <w:r w:rsidRPr="00FA23DA">
        <w:rPr>
          <w:sz w:val="28"/>
          <w:szCs w:val="28"/>
        </w:rPr>
        <w:t xml:space="preserve"> </w:t>
      </w:r>
      <w:proofErr w:type="spellStart"/>
      <w:r w:rsidRPr="00FA23DA">
        <w:rPr>
          <w:sz w:val="28"/>
          <w:szCs w:val="28"/>
        </w:rPr>
        <w:t>University</w:t>
      </w:r>
      <w:proofErr w:type="spellEnd"/>
      <w:r w:rsidRPr="00FA23DA">
        <w:rPr>
          <w:sz w:val="28"/>
          <w:szCs w:val="28"/>
        </w:rPr>
        <w:t xml:space="preserve"> </w:t>
      </w:r>
      <w:proofErr w:type="spellStart"/>
      <w:r w:rsidRPr="00FA23DA">
        <w:rPr>
          <w:sz w:val="28"/>
          <w:szCs w:val="28"/>
        </w:rPr>
        <w:t>Press</w:t>
      </w:r>
      <w:proofErr w:type="spellEnd"/>
      <w:r w:rsidRPr="00FA23DA">
        <w:rPr>
          <w:sz w:val="28"/>
          <w:szCs w:val="28"/>
        </w:rPr>
        <w:t xml:space="preserve">, 2018. URL: </w:t>
      </w:r>
      <w:hyperlink r:id="rId27" w:tgtFrame="_new" w:history="1">
        <w:r w:rsidRPr="00FA23DA">
          <w:rPr>
            <w:rStyle w:val="Hyperlink"/>
            <w:sz w:val="28"/>
            <w:szCs w:val="28"/>
          </w:rPr>
          <w:t>https://www.degruyter.com/document/doi/10.1515/9789048537143-005/html?lang=en</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6868A424" w14:textId="77777777" w:rsidR="00FA23DA" w:rsidRPr="00FA23DA" w:rsidRDefault="00FA23DA" w:rsidP="00FA23DA">
      <w:pPr>
        <w:pStyle w:val="NormalWeb"/>
        <w:spacing w:line="360" w:lineRule="auto"/>
        <w:rPr>
          <w:sz w:val="28"/>
          <w:szCs w:val="28"/>
        </w:rPr>
      </w:pPr>
      <w:proofErr w:type="spellStart"/>
      <w:r w:rsidRPr="00FA23DA">
        <w:rPr>
          <w:rStyle w:val="Emphasis"/>
          <w:sz w:val="28"/>
          <w:szCs w:val="28"/>
        </w:rPr>
        <w:t>Code</w:t>
      </w:r>
      <w:proofErr w:type="spellEnd"/>
      <w:r w:rsidRPr="00FA23DA">
        <w:rPr>
          <w:rStyle w:val="Emphasis"/>
          <w:sz w:val="28"/>
          <w:szCs w:val="28"/>
        </w:rPr>
        <w:t xml:space="preserve"> </w:t>
      </w:r>
      <w:proofErr w:type="spellStart"/>
      <w:r w:rsidRPr="00FA23DA">
        <w:rPr>
          <w:rStyle w:val="Emphasis"/>
          <w:sz w:val="28"/>
          <w:szCs w:val="28"/>
        </w:rPr>
        <w:t>civil</w:t>
      </w:r>
      <w:proofErr w:type="spellEnd"/>
      <w:r w:rsidRPr="00FA23DA">
        <w:rPr>
          <w:rStyle w:val="Emphasis"/>
          <w:sz w:val="28"/>
          <w:szCs w:val="28"/>
        </w:rPr>
        <w:t xml:space="preserve"> </w:t>
      </w:r>
      <w:proofErr w:type="spellStart"/>
      <w:r w:rsidRPr="00FA23DA">
        <w:rPr>
          <w:rStyle w:val="Emphasis"/>
          <w:sz w:val="28"/>
          <w:szCs w:val="28"/>
        </w:rPr>
        <w:t>des</w:t>
      </w:r>
      <w:proofErr w:type="spellEnd"/>
      <w:r w:rsidRPr="00FA23DA">
        <w:rPr>
          <w:rStyle w:val="Emphasis"/>
          <w:sz w:val="28"/>
          <w:szCs w:val="28"/>
        </w:rPr>
        <w:t xml:space="preserve"> </w:t>
      </w:r>
      <w:proofErr w:type="spellStart"/>
      <w:r w:rsidRPr="00FA23DA">
        <w:rPr>
          <w:rStyle w:val="Emphasis"/>
          <w:sz w:val="28"/>
          <w:szCs w:val="28"/>
        </w:rPr>
        <w:t>français</w:t>
      </w:r>
      <w:proofErr w:type="spellEnd"/>
      <w:r w:rsidRPr="00FA23DA">
        <w:rPr>
          <w:rStyle w:val="Emphasis"/>
          <w:sz w:val="28"/>
          <w:szCs w:val="28"/>
        </w:rPr>
        <w:t xml:space="preserve">: </w:t>
      </w:r>
      <w:proofErr w:type="spellStart"/>
      <w:r w:rsidRPr="00FA23DA">
        <w:rPr>
          <w:rStyle w:val="Emphasis"/>
          <w:sz w:val="28"/>
          <w:szCs w:val="28"/>
        </w:rPr>
        <w:t>Édition</w:t>
      </w:r>
      <w:proofErr w:type="spellEnd"/>
      <w:r w:rsidRPr="00FA23DA">
        <w:rPr>
          <w:rStyle w:val="Emphasis"/>
          <w:sz w:val="28"/>
          <w:szCs w:val="28"/>
        </w:rPr>
        <w:t xml:space="preserve"> </w:t>
      </w:r>
      <w:proofErr w:type="spellStart"/>
      <w:r w:rsidRPr="00FA23DA">
        <w:rPr>
          <w:rStyle w:val="Emphasis"/>
          <w:sz w:val="28"/>
          <w:szCs w:val="28"/>
        </w:rPr>
        <w:t>originale</w:t>
      </w:r>
      <w:proofErr w:type="spellEnd"/>
      <w:r w:rsidRPr="00FA23DA">
        <w:rPr>
          <w:rStyle w:val="Emphasis"/>
          <w:sz w:val="28"/>
          <w:szCs w:val="28"/>
        </w:rPr>
        <w:t xml:space="preserve"> </w:t>
      </w:r>
      <w:proofErr w:type="spellStart"/>
      <w:r w:rsidRPr="00FA23DA">
        <w:rPr>
          <w:rStyle w:val="Emphasis"/>
          <w:sz w:val="28"/>
          <w:szCs w:val="28"/>
        </w:rPr>
        <w:t>et</w:t>
      </w:r>
      <w:proofErr w:type="spellEnd"/>
      <w:r w:rsidRPr="00FA23DA">
        <w:rPr>
          <w:rStyle w:val="Emphasis"/>
          <w:sz w:val="28"/>
          <w:szCs w:val="28"/>
        </w:rPr>
        <w:t xml:space="preserve"> </w:t>
      </w:r>
      <w:proofErr w:type="spellStart"/>
      <w:r w:rsidRPr="00FA23DA">
        <w:rPr>
          <w:rStyle w:val="Emphasis"/>
          <w:sz w:val="28"/>
          <w:szCs w:val="28"/>
        </w:rPr>
        <w:t>seule</w:t>
      </w:r>
      <w:proofErr w:type="spellEnd"/>
      <w:r w:rsidRPr="00FA23DA">
        <w:rPr>
          <w:rStyle w:val="Emphasis"/>
          <w:sz w:val="28"/>
          <w:szCs w:val="28"/>
        </w:rPr>
        <w:t xml:space="preserve"> </w:t>
      </w:r>
      <w:proofErr w:type="spellStart"/>
      <w:r w:rsidRPr="00FA23DA">
        <w:rPr>
          <w:rStyle w:val="Emphasis"/>
          <w:sz w:val="28"/>
          <w:szCs w:val="28"/>
        </w:rPr>
        <w:t>officielle</w:t>
      </w:r>
      <w:proofErr w:type="spellEnd"/>
      <w:r w:rsidRPr="00FA23DA">
        <w:rPr>
          <w:sz w:val="28"/>
          <w:szCs w:val="28"/>
        </w:rPr>
        <w:t xml:space="preserve">. </w:t>
      </w:r>
      <w:proofErr w:type="spellStart"/>
      <w:r w:rsidRPr="00FA23DA">
        <w:rPr>
          <w:sz w:val="28"/>
          <w:szCs w:val="28"/>
        </w:rPr>
        <w:t>Gallica</w:t>
      </w:r>
      <w:proofErr w:type="spellEnd"/>
      <w:r w:rsidRPr="00FA23DA">
        <w:rPr>
          <w:sz w:val="28"/>
          <w:szCs w:val="28"/>
        </w:rPr>
        <w:t xml:space="preserve">. URL: </w:t>
      </w:r>
      <w:hyperlink r:id="rId28" w:tgtFrame="_new" w:history="1">
        <w:r w:rsidRPr="00FA23DA">
          <w:rPr>
            <w:rStyle w:val="Hyperlink"/>
            <w:sz w:val="28"/>
            <w:szCs w:val="28"/>
          </w:rPr>
          <w:t>https://gallica.bnf.fr/ark:/12148/bpt6k1061517/f2.item</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116DDB89" w14:textId="77777777" w:rsidR="00FA23DA" w:rsidRPr="00FA23DA" w:rsidRDefault="00FA23DA" w:rsidP="00FA23DA">
      <w:pPr>
        <w:pStyle w:val="NormalWeb"/>
        <w:spacing w:line="360" w:lineRule="auto"/>
        <w:rPr>
          <w:sz w:val="28"/>
          <w:szCs w:val="28"/>
        </w:rPr>
      </w:pPr>
      <w:r w:rsidRPr="00FA23DA">
        <w:rPr>
          <w:rStyle w:val="Emphasis"/>
          <w:sz w:val="28"/>
          <w:szCs w:val="28"/>
        </w:rPr>
        <w:t xml:space="preserve">CR v. </w:t>
      </w:r>
      <w:proofErr w:type="spellStart"/>
      <w:r w:rsidRPr="00FA23DA">
        <w:rPr>
          <w:rStyle w:val="Emphasis"/>
          <w:sz w:val="28"/>
          <w:szCs w:val="28"/>
        </w:rPr>
        <w:t>the</w:t>
      </w:r>
      <w:proofErr w:type="spellEnd"/>
      <w:r w:rsidRPr="00FA23DA">
        <w:rPr>
          <w:rStyle w:val="Emphasis"/>
          <w:sz w:val="28"/>
          <w:szCs w:val="28"/>
        </w:rPr>
        <w:t xml:space="preserve"> </w:t>
      </w:r>
      <w:proofErr w:type="spellStart"/>
      <w:r w:rsidRPr="00FA23DA">
        <w:rPr>
          <w:rStyle w:val="Emphasis"/>
          <w:sz w:val="28"/>
          <w:szCs w:val="28"/>
        </w:rPr>
        <w:t>United</w:t>
      </w:r>
      <w:proofErr w:type="spellEnd"/>
      <w:r w:rsidRPr="00FA23DA">
        <w:rPr>
          <w:rStyle w:val="Emphasis"/>
          <w:sz w:val="28"/>
          <w:szCs w:val="28"/>
        </w:rPr>
        <w:t xml:space="preserve"> </w:t>
      </w:r>
      <w:proofErr w:type="spellStart"/>
      <w:r w:rsidRPr="00FA23DA">
        <w:rPr>
          <w:rStyle w:val="Emphasis"/>
          <w:sz w:val="28"/>
          <w:szCs w:val="28"/>
        </w:rPr>
        <w:t>Kingdom</w:t>
      </w:r>
      <w:proofErr w:type="spellEnd"/>
      <w:r w:rsidRPr="00FA23DA">
        <w:rPr>
          <w:sz w:val="28"/>
          <w:szCs w:val="28"/>
        </w:rPr>
        <w:t xml:space="preserve">, </w:t>
      </w:r>
      <w:proofErr w:type="spellStart"/>
      <w:r w:rsidRPr="00FA23DA">
        <w:rPr>
          <w:sz w:val="28"/>
          <w:szCs w:val="28"/>
        </w:rPr>
        <w:t>no</w:t>
      </w:r>
      <w:proofErr w:type="spellEnd"/>
      <w:r w:rsidRPr="00FA23DA">
        <w:rPr>
          <w:sz w:val="28"/>
          <w:szCs w:val="28"/>
        </w:rPr>
        <w:t xml:space="preserve">. 20190/92, </w:t>
      </w:r>
      <w:proofErr w:type="spellStart"/>
      <w:r w:rsidRPr="00FA23DA">
        <w:rPr>
          <w:sz w:val="28"/>
          <w:szCs w:val="28"/>
        </w:rPr>
        <w:t>European</w:t>
      </w:r>
      <w:proofErr w:type="spellEnd"/>
      <w:r w:rsidRPr="00FA23DA">
        <w:rPr>
          <w:sz w:val="28"/>
          <w:szCs w:val="28"/>
        </w:rPr>
        <w:t xml:space="preserve"> </w:t>
      </w:r>
      <w:proofErr w:type="spellStart"/>
      <w:r w:rsidRPr="00FA23DA">
        <w:rPr>
          <w:sz w:val="28"/>
          <w:szCs w:val="28"/>
        </w:rPr>
        <w:t>Court</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Human</w:t>
      </w:r>
      <w:proofErr w:type="spellEnd"/>
      <w:r w:rsidRPr="00FA23DA">
        <w:rPr>
          <w:sz w:val="28"/>
          <w:szCs w:val="28"/>
        </w:rPr>
        <w:t xml:space="preserve"> </w:t>
      </w:r>
      <w:proofErr w:type="spellStart"/>
      <w:r w:rsidRPr="00FA23DA">
        <w:rPr>
          <w:sz w:val="28"/>
          <w:szCs w:val="28"/>
        </w:rPr>
        <w:t>Rights</w:t>
      </w:r>
      <w:proofErr w:type="spellEnd"/>
      <w:r w:rsidRPr="00FA23DA">
        <w:rPr>
          <w:sz w:val="28"/>
          <w:szCs w:val="28"/>
        </w:rPr>
        <w:t xml:space="preserve">, 1995. URL: </w:t>
      </w:r>
      <w:hyperlink r:id="rId29" w:anchor="%7B%22itemid%22:%5B%22001-57955%22%5D%7D" w:tgtFrame="_new" w:history="1">
        <w:r w:rsidRPr="00FA23DA">
          <w:rPr>
            <w:rStyle w:val="Hyperlink"/>
            <w:sz w:val="28"/>
            <w:szCs w:val="28"/>
          </w:rPr>
          <w:t>https://hudoc.echr.coe.int/eng#{%22itemid%22:[%22001-57955%22]}</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3E8BE42C" w14:textId="77777777" w:rsidR="00FA23DA" w:rsidRPr="00FA23DA" w:rsidRDefault="00FA23DA" w:rsidP="00FA23DA">
      <w:pPr>
        <w:pStyle w:val="NormalWeb"/>
        <w:spacing w:line="360" w:lineRule="auto"/>
        <w:rPr>
          <w:sz w:val="28"/>
          <w:szCs w:val="28"/>
        </w:rPr>
      </w:pPr>
      <w:r w:rsidRPr="00FA23DA">
        <w:rPr>
          <w:sz w:val="28"/>
          <w:szCs w:val="28"/>
        </w:rPr>
        <w:t xml:space="preserve">DFR – </w:t>
      </w:r>
      <w:proofErr w:type="spellStart"/>
      <w:r w:rsidRPr="00FA23DA">
        <w:rPr>
          <w:rStyle w:val="Emphasis"/>
          <w:sz w:val="28"/>
          <w:szCs w:val="28"/>
        </w:rPr>
        <w:t>BVerfGE</w:t>
      </w:r>
      <w:proofErr w:type="spellEnd"/>
      <w:r w:rsidRPr="00FA23DA">
        <w:rPr>
          <w:rStyle w:val="Emphasis"/>
          <w:sz w:val="28"/>
          <w:szCs w:val="28"/>
        </w:rPr>
        <w:t xml:space="preserve"> 95, 96 – </w:t>
      </w:r>
      <w:proofErr w:type="spellStart"/>
      <w:r w:rsidRPr="00FA23DA">
        <w:rPr>
          <w:rStyle w:val="Emphasis"/>
          <w:sz w:val="28"/>
          <w:szCs w:val="28"/>
        </w:rPr>
        <w:t>Mauerschützen</w:t>
      </w:r>
      <w:proofErr w:type="spellEnd"/>
      <w:r w:rsidRPr="00FA23DA">
        <w:rPr>
          <w:sz w:val="28"/>
          <w:szCs w:val="28"/>
        </w:rPr>
        <w:t xml:space="preserve">. </w:t>
      </w:r>
      <w:proofErr w:type="spellStart"/>
      <w:r w:rsidRPr="00FA23DA">
        <w:rPr>
          <w:sz w:val="28"/>
          <w:szCs w:val="28"/>
        </w:rPr>
        <w:t>Internetprojekte</w:t>
      </w:r>
      <w:proofErr w:type="spellEnd"/>
      <w:r w:rsidRPr="00FA23DA">
        <w:rPr>
          <w:sz w:val="28"/>
          <w:szCs w:val="28"/>
        </w:rPr>
        <w:t xml:space="preserve"> </w:t>
      </w:r>
      <w:proofErr w:type="spellStart"/>
      <w:r w:rsidRPr="00FA23DA">
        <w:rPr>
          <w:sz w:val="28"/>
          <w:szCs w:val="28"/>
        </w:rPr>
        <w:t>Prof</w:t>
      </w:r>
      <w:proofErr w:type="spellEnd"/>
      <w:r w:rsidRPr="00FA23DA">
        <w:rPr>
          <w:sz w:val="28"/>
          <w:szCs w:val="28"/>
        </w:rPr>
        <w:t xml:space="preserve">. </w:t>
      </w:r>
      <w:proofErr w:type="spellStart"/>
      <w:r w:rsidRPr="00FA23DA">
        <w:rPr>
          <w:sz w:val="28"/>
          <w:szCs w:val="28"/>
        </w:rPr>
        <w:t>Dr</w:t>
      </w:r>
      <w:proofErr w:type="spellEnd"/>
      <w:r w:rsidRPr="00FA23DA">
        <w:rPr>
          <w:sz w:val="28"/>
          <w:szCs w:val="28"/>
        </w:rPr>
        <w:t xml:space="preserve">. </w:t>
      </w:r>
      <w:proofErr w:type="spellStart"/>
      <w:r w:rsidRPr="00FA23DA">
        <w:rPr>
          <w:sz w:val="28"/>
          <w:szCs w:val="28"/>
        </w:rPr>
        <w:t>Axel</w:t>
      </w:r>
      <w:proofErr w:type="spellEnd"/>
      <w:r w:rsidRPr="00FA23DA">
        <w:rPr>
          <w:sz w:val="28"/>
          <w:szCs w:val="28"/>
        </w:rPr>
        <w:t xml:space="preserve"> </w:t>
      </w:r>
      <w:proofErr w:type="spellStart"/>
      <w:r w:rsidRPr="00FA23DA">
        <w:rPr>
          <w:sz w:val="28"/>
          <w:szCs w:val="28"/>
        </w:rPr>
        <w:t>Tschentscher</w:t>
      </w:r>
      <w:proofErr w:type="spellEnd"/>
      <w:r w:rsidRPr="00FA23DA">
        <w:rPr>
          <w:sz w:val="28"/>
          <w:szCs w:val="28"/>
        </w:rPr>
        <w:t xml:space="preserve">, LL.M., M.A. URL: </w:t>
      </w:r>
      <w:hyperlink r:id="rId30" w:tgtFrame="_new" w:history="1">
        <w:r w:rsidRPr="00FA23DA">
          <w:rPr>
            <w:rStyle w:val="Hyperlink"/>
            <w:sz w:val="28"/>
            <w:szCs w:val="28"/>
          </w:rPr>
          <w:t>https://www.servat.unibe.ch/dfr/bv095096.html</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17BD37D1" w14:textId="77777777" w:rsidR="00FA23DA" w:rsidRPr="00FA23DA" w:rsidRDefault="00FA23DA" w:rsidP="00FA23DA">
      <w:pPr>
        <w:pStyle w:val="NormalWeb"/>
        <w:spacing w:line="360" w:lineRule="auto"/>
        <w:rPr>
          <w:sz w:val="28"/>
          <w:szCs w:val="28"/>
        </w:rPr>
      </w:pPr>
      <w:proofErr w:type="spellStart"/>
      <w:r w:rsidRPr="00FA23DA">
        <w:rPr>
          <w:sz w:val="28"/>
          <w:szCs w:val="28"/>
        </w:rPr>
        <w:t>Druchek</w:t>
      </w:r>
      <w:proofErr w:type="spellEnd"/>
      <w:r w:rsidRPr="00FA23DA">
        <w:rPr>
          <w:sz w:val="28"/>
          <w:szCs w:val="28"/>
        </w:rPr>
        <w:t xml:space="preserve">, O., R. </w:t>
      </w:r>
      <w:proofErr w:type="spellStart"/>
      <w:r w:rsidRPr="00FA23DA">
        <w:rPr>
          <w:sz w:val="28"/>
          <w:szCs w:val="28"/>
        </w:rPr>
        <w:t>Zvarych</w:t>
      </w:r>
      <w:proofErr w:type="spellEnd"/>
      <w:r w:rsidRPr="00FA23DA">
        <w:rPr>
          <w:sz w:val="28"/>
          <w:szCs w:val="28"/>
        </w:rPr>
        <w:t xml:space="preserve">, </w:t>
      </w:r>
      <w:proofErr w:type="spellStart"/>
      <w:r w:rsidRPr="00FA23DA">
        <w:rPr>
          <w:sz w:val="28"/>
          <w:szCs w:val="28"/>
        </w:rPr>
        <w:t>and</w:t>
      </w:r>
      <w:proofErr w:type="spellEnd"/>
      <w:r w:rsidRPr="00FA23DA">
        <w:rPr>
          <w:sz w:val="28"/>
          <w:szCs w:val="28"/>
        </w:rPr>
        <w:t xml:space="preserve"> M. </w:t>
      </w:r>
      <w:proofErr w:type="spellStart"/>
      <w:r w:rsidRPr="00FA23DA">
        <w:rPr>
          <w:sz w:val="28"/>
          <w:szCs w:val="28"/>
        </w:rPr>
        <w:t>Novikova</w:t>
      </w:r>
      <w:proofErr w:type="spellEnd"/>
      <w:r w:rsidRPr="00FA23DA">
        <w:rPr>
          <w:sz w:val="28"/>
          <w:szCs w:val="28"/>
        </w:rPr>
        <w:t>. "</w:t>
      </w:r>
      <w:proofErr w:type="spellStart"/>
      <w:r w:rsidRPr="00FA23DA">
        <w:rPr>
          <w:sz w:val="28"/>
          <w:szCs w:val="28"/>
        </w:rPr>
        <w:t>Romano-Germanic</w:t>
      </w:r>
      <w:proofErr w:type="spellEnd"/>
      <w:r w:rsidRPr="00FA23DA">
        <w:rPr>
          <w:sz w:val="28"/>
          <w:szCs w:val="28"/>
        </w:rPr>
        <w:t xml:space="preserve"> </w:t>
      </w:r>
      <w:proofErr w:type="spellStart"/>
      <w:r w:rsidRPr="00FA23DA">
        <w:rPr>
          <w:sz w:val="28"/>
          <w:szCs w:val="28"/>
        </w:rPr>
        <w:t>and</w:t>
      </w:r>
      <w:proofErr w:type="spellEnd"/>
      <w:r w:rsidRPr="00FA23DA">
        <w:rPr>
          <w:sz w:val="28"/>
          <w:szCs w:val="28"/>
        </w:rPr>
        <w:t xml:space="preserve"> </w:t>
      </w:r>
      <w:proofErr w:type="spellStart"/>
      <w:r w:rsidRPr="00FA23DA">
        <w:rPr>
          <w:sz w:val="28"/>
          <w:szCs w:val="28"/>
        </w:rPr>
        <w:t>Anglo-Saxon</w:t>
      </w:r>
      <w:proofErr w:type="spellEnd"/>
      <w:r w:rsidRPr="00FA23DA">
        <w:rPr>
          <w:sz w:val="28"/>
          <w:szCs w:val="28"/>
        </w:rPr>
        <w:t xml:space="preserve"> </w:t>
      </w:r>
      <w:proofErr w:type="spellStart"/>
      <w:r w:rsidRPr="00FA23DA">
        <w:rPr>
          <w:sz w:val="28"/>
          <w:szCs w:val="28"/>
        </w:rPr>
        <w:t>Legal</w:t>
      </w:r>
      <w:proofErr w:type="spellEnd"/>
      <w:r w:rsidRPr="00FA23DA">
        <w:rPr>
          <w:sz w:val="28"/>
          <w:szCs w:val="28"/>
        </w:rPr>
        <w:t xml:space="preserve"> </w:t>
      </w:r>
      <w:proofErr w:type="spellStart"/>
      <w:r w:rsidRPr="00FA23DA">
        <w:rPr>
          <w:sz w:val="28"/>
          <w:szCs w:val="28"/>
        </w:rPr>
        <w:t>Systems</w:t>
      </w:r>
      <w:proofErr w:type="spellEnd"/>
      <w:r w:rsidRPr="00FA23DA">
        <w:rPr>
          <w:sz w:val="28"/>
          <w:szCs w:val="28"/>
        </w:rPr>
        <w:t xml:space="preserve">: </w:t>
      </w:r>
      <w:proofErr w:type="spellStart"/>
      <w:r w:rsidRPr="00FA23DA">
        <w:rPr>
          <w:sz w:val="28"/>
          <w:szCs w:val="28"/>
        </w:rPr>
        <w:t>Historical</w:t>
      </w:r>
      <w:proofErr w:type="spellEnd"/>
      <w:r w:rsidRPr="00FA23DA">
        <w:rPr>
          <w:sz w:val="28"/>
          <w:szCs w:val="28"/>
        </w:rPr>
        <w:t xml:space="preserve"> </w:t>
      </w:r>
      <w:proofErr w:type="spellStart"/>
      <w:r w:rsidRPr="00FA23DA">
        <w:rPr>
          <w:sz w:val="28"/>
          <w:szCs w:val="28"/>
        </w:rPr>
        <w:t>Aspects</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Formation</w:t>
      </w:r>
      <w:proofErr w:type="spellEnd"/>
      <w:r w:rsidRPr="00FA23DA">
        <w:rPr>
          <w:sz w:val="28"/>
          <w:szCs w:val="28"/>
        </w:rPr>
        <w:t xml:space="preserve"> </w:t>
      </w:r>
      <w:proofErr w:type="spellStart"/>
      <w:r w:rsidRPr="00FA23DA">
        <w:rPr>
          <w:sz w:val="28"/>
          <w:szCs w:val="28"/>
        </w:rPr>
        <w:t>and</w:t>
      </w:r>
      <w:proofErr w:type="spellEnd"/>
      <w:r w:rsidRPr="00FA23DA">
        <w:rPr>
          <w:sz w:val="28"/>
          <w:szCs w:val="28"/>
        </w:rPr>
        <w:t xml:space="preserve"> </w:t>
      </w:r>
      <w:proofErr w:type="spellStart"/>
      <w:r w:rsidRPr="00FA23DA">
        <w:rPr>
          <w:sz w:val="28"/>
          <w:szCs w:val="28"/>
        </w:rPr>
        <w:t>Main</w:t>
      </w:r>
      <w:proofErr w:type="spellEnd"/>
      <w:r w:rsidRPr="00FA23DA">
        <w:rPr>
          <w:sz w:val="28"/>
          <w:szCs w:val="28"/>
        </w:rPr>
        <w:t xml:space="preserve"> </w:t>
      </w:r>
      <w:proofErr w:type="spellStart"/>
      <w:r w:rsidRPr="00FA23DA">
        <w:rPr>
          <w:sz w:val="28"/>
          <w:szCs w:val="28"/>
        </w:rPr>
        <w:t>Characteristics</w:t>
      </w:r>
      <w:proofErr w:type="spellEnd"/>
      <w:r w:rsidRPr="00FA23DA">
        <w:rPr>
          <w:sz w:val="28"/>
          <w:szCs w:val="28"/>
        </w:rPr>
        <w:t xml:space="preserve">." </w:t>
      </w:r>
      <w:proofErr w:type="spellStart"/>
      <w:r w:rsidRPr="00FA23DA">
        <w:rPr>
          <w:rStyle w:val="Emphasis"/>
          <w:sz w:val="28"/>
          <w:szCs w:val="28"/>
        </w:rPr>
        <w:t>Law</w:t>
      </w:r>
      <w:proofErr w:type="spellEnd"/>
      <w:r w:rsidRPr="00FA23DA">
        <w:rPr>
          <w:rStyle w:val="Emphasis"/>
          <w:sz w:val="28"/>
          <w:szCs w:val="28"/>
        </w:rPr>
        <w:t xml:space="preserve"> </w:t>
      </w:r>
      <w:proofErr w:type="spellStart"/>
      <w:r w:rsidRPr="00FA23DA">
        <w:rPr>
          <w:rStyle w:val="Emphasis"/>
          <w:sz w:val="28"/>
          <w:szCs w:val="28"/>
        </w:rPr>
        <w:t>and</w:t>
      </w:r>
      <w:proofErr w:type="spellEnd"/>
      <w:r w:rsidRPr="00FA23DA">
        <w:rPr>
          <w:rStyle w:val="Emphasis"/>
          <w:sz w:val="28"/>
          <w:szCs w:val="28"/>
        </w:rPr>
        <w:t xml:space="preserve"> </w:t>
      </w:r>
      <w:proofErr w:type="spellStart"/>
      <w:r w:rsidRPr="00FA23DA">
        <w:rPr>
          <w:rStyle w:val="Emphasis"/>
          <w:sz w:val="28"/>
          <w:szCs w:val="28"/>
        </w:rPr>
        <w:t>Public</w:t>
      </w:r>
      <w:proofErr w:type="spellEnd"/>
      <w:r w:rsidRPr="00FA23DA">
        <w:rPr>
          <w:rStyle w:val="Emphasis"/>
          <w:sz w:val="28"/>
          <w:szCs w:val="28"/>
        </w:rPr>
        <w:t xml:space="preserve"> </w:t>
      </w:r>
      <w:proofErr w:type="spellStart"/>
      <w:r w:rsidRPr="00FA23DA">
        <w:rPr>
          <w:rStyle w:val="Emphasis"/>
          <w:sz w:val="28"/>
          <w:szCs w:val="28"/>
        </w:rPr>
        <w:t>Administration</w:t>
      </w:r>
      <w:proofErr w:type="spellEnd"/>
      <w:r w:rsidRPr="00FA23DA">
        <w:rPr>
          <w:sz w:val="28"/>
          <w:szCs w:val="28"/>
        </w:rPr>
        <w:t xml:space="preserve"> 2 (2023): 405–414. URL: </w:t>
      </w:r>
      <w:hyperlink r:id="rId31" w:tgtFrame="_new" w:history="1">
        <w:r w:rsidRPr="00FA23DA">
          <w:rPr>
            <w:rStyle w:val="Hyperlink"/>
            <w:sz w:val="28"/>
            <w:szCs w:val="28"/>
          </w:rPr>
          <w:t>http://www.pdu-journal.kpu.zp.ua/archive/2_2023/59.pdf</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5112F982" w14:textId="77777777" w:rsidR="00FA23DA" w:rsidRPr="00FA23DA" w:rsidRDefault="00FA23DA" w:rsidP="00FA23DA">
      <w:pPr>
        <w:pStyle w:val="NormalWeb"/>
        <w:spacing w:line="360" w:lineRule="auto"/>
        <w:rPr>
          <w:sz w:val="28"/>
          <w:szCs w:val="28"/>
        </w:rPr>
      </w:pPr>
      <w:proofErr w:type="spellStart"/>
      <w:r w:rsidRPr="00FA23DA">
        <w:rPr>
          <w:sz w:val="28"/>
          <w:szCs w:val="28"/>
        </w:rPr>
        <w:t>Dutko</w:t>
      </w:r>
      <w:proofErr w:type="spellEnd"/>
      <w:r w:rsidRPr="00FA23DA">
        <w:rPr>
          <w:sz w:val="28"/>
          <w:szCs w:val="28"/>
        </w:rPr>
        <w:t>, A. O. "</w:t>
      </w:r>
      <w:proofErr w:type="spellStart"/>
      <w:r w:rsidRPr="00FA23DA">
        <w:rPr>
          <w:sz w:val="28"/>
          <w:szCs w:val="28"/>
        </w:rPr>
        <w:t>Features</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Legal</w:t>
      </w:r>
      <w:proofErr w:type="spellEnd"/>
      <w:r w:rsidRPr="00FA23DA">
        <w:rPr>
          <w:sz w:val="28"/>
          <w:szCs w:val="28"/>
        </w:rPr>
        <w:t xml:space="preserve"> </w:t>
      </w:r>
      <w:proofErr w:type="spellStart"/>
      <w:r w:rsidRPr="00FA23DA">
        <w:rPr>
          <w:sz w:val="28"/>
          <w:szCs w:val="28"/>
        </w:rPr>
        <w:t>Constructions</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Private</w:t>
      </w:r>
      <w:proofErr w:type="spellEnd"/>
      <w:r w:rsidRPr="00FA23DA">
        <w:rPr>
          <w:sz w:val="28"/>
          <w:szCs w:val="28"/>
        </w:rPr>
        <w:t xml:space="preserve"> </w:t>
      </w:r>
      <w:proofErr w:type="spellStart"/>
      <w:r w:rsidRPr="00FA23DA">
        <w:rPr>
          <w:sz w:val="28"/>
          <w:szCs w:val="28"/>
        </w:rPr>
        <w:t>Law</w:t>
      </w:r>
      <w:proofErr w:type="spellEnd"/>
      <w:r w:rsidRPr="00FA23DA">
        <w:rPr>
          <w:sz w:val="28"/>
          <w:szCs w:val="28"/>
        </w:rPr>
        <w:t xml:space="preserve">." </w:t>
      </w:r>
      <w:proofErr w:type="spellStart"/>
      <w:r w:rsidRPr="00FA23DA">
        <w:rPr>
          <w:rStyle w:val="Emphasis"/>
          <w:sz w:val="28"/>
          <w:szCs w:val="28"/>
        </w:rPr>
        <w:t>Bulletin</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Lviv</w:t>
      </w:r>
      <w:proofErr w:type="spellEnd"/>
      <w:r w:rsidRPr="00FA23DA">
        <w:rPr>
          <w:rStyle w:val="Emphasis"/>
          <w:sz w:val="28"/>
          <w:szCs w:val="28"/>
        </w:rPr>
        <w:t xml:space="preserve"> </w:t>
      </w:r>
      <w:proofErr w:type="spellStart"/>
      <w:r w:rsidRPr="00FA23DA">
        <w:rPr>
          <w:rStyle w:val="Emphasis"/>
          <w:sz w:val="28"/>
          <w:szCs w:val="28"/>
        </w:rPr>
        <w:t>Polytechnic</w:t>
      </w:r>
      <w:proofErr w:type="spellEnd"/>
      <w:r w:rsidRPr="00FA23DA">
        <w:rPr>
          <w:rStyle w:val="Emphasis"/>
          <w:sz w:val="28"/>
          <w:szCs w:val="28"/>
        </w:rPr>
        <w:t xml:space="preserve"> </w:t>
      </w:r>
      <w:proofErr w:type="spellStart"/>
      <w:r w:rsidRPr="00FA23DA">
        <w:rPr>
          <w:rStyle w:val="Emphasis"/>
          <w:sz w:val="28"/>
          <w:szCs w:val="28"/>
        </w:rPr>
        <w:t>National</w:t>
      </w:r>
      <w:proofErr w:type="spellEnd"/>
      <w:r w:rsidRPr="00FA23DA">
        <w:rPr>
          <w:rStyle w:val="Emphasis"/>
          <w:sz w:val="28"/>
          <w:szCs w:val="28"/>
        </w:rPr>
        <w:t xml:space="preserve"> </w:t>
      </w:r>
      <w:proofErr w:type="spellStart"/>
      <w:r w:rsidRPr="00FA23DA">
        <w:rPr>
          <w:rStyle w:val="Emphasis"/>
          <w:sz w:val="28"/>
          <w:szCs w:val="28"/>
        </w:rPr>
        <w:t>University</w:t>
      </w:r>
      <w:proofErr w:type="spellEnd"/>
      <w:r w:rsidRPr="00FA23DA">
        <w:rPr>
          <w:sz w:val="28"/>
          <w:szCs w:val="28"/>
        </w:rPr>
        <w:t xml:space="preserve"> 825 (2015): 63–68. URL: </w:t>
      </w:r>
      <w:hyperlink r:id="rId32" w:tgtFrame="_new" w:history="1">
        <w:r w:rsidRPr="00FA23DA">
          <w:rPr>
            <w:rStyle w:val="Hyperlink"/>
            <w:sz w:val="28"/>
            <w:szCs w:val="28"/>
          </w:rPr>
          <w:t>http://nbuv.gov.ua/UJRN/vnulpurn_2015_825_13</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5FFACCFC" w14:textId="77777777" w:rsidR="00FA23DA" w:rsidRPr="00FA23DA" w:rsidRDefault="00FA23DA" w:rsidP="00FA23DA">
      <w:pPr>
        <w:pStyle w:val="NormalWeb"/>
        <w:spacing w:line="360" w:lineRule="auto"/>
        <w:rPr>
          <w:sz w:val="28"/>
          <w:szCs w:val="28"/>
        </w:rPr>
      </w:pPr>
      <w:proofErr w:type="spellStart"/>
      <w:r w:rsidRPr="00FA23DA">
        <w:rPr>
          <w:sz w:val="28"/>
          <w:szCs w:val="28"/>
        </w:rPr>
        <w:lastRenderedPageBreak/>
        <w:t>Fletcher</w:t>
      </w:r>
      <w:proofErr w:type="spellEnd"/>
      <w:r w:rsidRPr="00FA23DA">
        <w:rPr>
          <w:sz w:val="28"/>
          <w:szCs w:val="28"/>
        </w:rPr>
        <w:t xml:space="preserve">, G. P. </w:t>
      </w:r>
      <w:proofErr w:type="spellStart"/>
      <w:r w:rsidRPr="00FA23DA">
        <w:rPr>
          <w:rStyle w:val="Emphasis"/>
          <w:sz w:val="28"/>
          <w:szCs w:val="28"/>
        </w:rPr>
        <w:t>Basic</w:t>
      </w:r>
      <w:proofErr w:type="spellEnd"/>
      <w:r w:rsidRPr="00FA23DA">
        <w:rPr>
          <w:rStyle w:val="Emphasis"/>
          <w:sz w:val="28"/>
          <w:szCs w:val="28"/>
        </w:rPr>
        <w:t xml:space="preserve"> </w:t>
      </w:r>
      <w:proofErr w:type="spellStart"/>
      <w:r w:rsidRPr="00FA23DA">
        <w:rPr>
          <w:rStyle w:val="Emphasis"/>
          <w:sz w:val="28"/>
          <w:szCs w:val="28"/>
        </w:rPr>
        <w:t>Concepts</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Criminal</w:t>
      </w:r>
      <w:proofErr w:type="spellEnd"/>
      <w:r w:rsidRPr="00FA23DA">
        <w:rPr>
          <w:rStyle w:val="Emphasis"/>
          <w:sz w:val="28"/>
          <w:szCs w:val="28"/>
        </w:rPr>
        <w:t xml:space="preserve"> </w:t>
      </w:r>
      <w:proofErr w:type="spellStart"/>
      <w:r w:rsidRPr="00FA23DA">
        <w:rPr>
          <w:rStyle w:val="Emphasis"/>
          <w:sz w:val="28"/>
          <w:szCs w:val="28"/>
        </w:rPr>
        <w:t>Law</w:t>
      </w:r>
      <w:proofErr w:type="spellEnd"/>
      <w:r w:rsidRPr="00FA23DA">
        <w:rPr>
          <w:sz w:val="28"/>
          <w:szCs w:val="28"/>
        </w:rPr>
        <w:t xml:space="preserve">. </w:t>
      </w:r>
      <w:proofErr w:type="spellStart"/>
      <w:r w:rsidRPr="00FA23DA">
        <w:rPr>
          <w:sz w:val="28"/>
          <w:szCs w:val="28"/>
        </w:rPr>
        <w:t>Oxford</w:t>
      </w:r>
      <w:proofErr w:type="spellEnd"/>
      <w:r w:rsidRPr="00FA23DA">
        <w:rPr>
          <w:sz w:val="28"/>
          <w:szCs w:val="28"/>
        </w:rPr>
        <w:t xml:space="preserve">: </w:t>
      </w:r>
      <w:proofErr w:type="spellStart"/>
      <w:r w:rsidRPr="00FA23DA">
        <w:rPr>
          <w:sz w:val="28"/>
          <w:szCs w:val="28"/>
        </w:rPr>
        <w:t>Oxford</w:t>
      </w:r>
      <w:proofErr w:type="spellEnd"/>
      <w:r w:rsidRPr="00FA23DA">
        <w:rPr>
          <w:sz w:val="28"/>
          <w:szCs w:val="28"/>
        </w:rPr>
        <w:t xml:space="preserve"> </w:t>
      </w:r>
      <w:proofErr w:type="spellStart"/>
      <w:r w:rsidRPr="00FA23DA">
        <w:rPr>
          <w:sz w:val="28"/>
          <w:szCs w:val="28"/>
        </w:rPr>
        <w:t>University</w:t>
      </w:r>
      <w:proofErr w:type="spellEnd"/>
      <w:r w:rsidRPr="00FA23DA">
        <w:rPr>
          <w:sz w:val="28"/>
          <w:szCs w:val="28"/>
        </w:rPr>
        <w:t xml:space="preserve"> </w:t>
      </w:r>
      <w:proofErr w:type="spellStart"/>
      <w:r w:rsidRPr="00FA23DA">
        <w:rPr>
          <w:sz w:val="28"/>
          <w:szCs w:val="28"/>
        </w:rPr>
        <w:t>Press</w:t>
      </w:r>
      <w:proofErr w:type="spellEnd"/>
      <w:r w:rsidRPr="00FA23DA">
        <w:rPr>
          <w:sz w:val="28"/>
          <w:szCs w:val="28"/>
        </w:rPr>
        <w:t>, 1998.</w:t>
      </w:r>
    </w:p>
    <w:p w14:paraId="3396DACE" w14:textId="77777777" w:rsidR="00FA23DA" w:rsidRPr="00FA23DA" w:rsidRDefault="00FA23DA" w:rsidP="00FA23DA">
      <w:pPr>
        <w:pStyle w:val="NormalWeb"/>
        <w:spacing w:line="360" w:lineRule="auto"/>
        <w:rPr>
          <w:sz w:val="28"/>
          <w:szCs w:val="28"/>
        </w:rPr>
      </w:pPr>
      <w:proofErr w:type="spellStart"/>
      <w:r w:rsidRPr="00FA23DA">
        <w:rPr>
          <w:sz w:val="28"/>
          <w:szCs w:val="28"/>
        </w:rPr>
        <w:t>Ivanchuk</w:t>
      </w:r>
      <w:proofErr w:type="spellEnd"/>
      <w:r w:rsidRPr="00FA23DA">
        <w:rPr>
          <w:sz w:val="28"/>
          <w:szCs w:val="28"/>
        </w:rPr>
        <w:t>, N. V. "</w:t>
      </w:r>
      <w:proofErr w:type="spellStart"/>
      <w:r w:rsidRPr="00FA23DA">
        <w:rPr>
          <w:sz w:val="28"/>
          <w:szCs w:val="28"/>
        </w:rPr>
        <w:t>Historical</w:t>
      </w:r>
      <w:proofErr w:type="spellEnd"/>
      <w:r w:rsidRPr="00FA23DA">
        <w:rPr>
          <w:sz w:val="28"/>
          <w:szCs w:val="28"/>
        </w:rPr>
        <w:t xml:space="preserve"> </w:t>
      </w:r>
      <w:proofErr w:type="spellStart"/>
      <w:r w:rsidRPr="00FA23DA">
        <w:rPr>
          <w:sz w:val="28"/>
          <w:szCs w:val="28"/>
        </w:rPr>
        <w:t>and</w:t>
      </w:r>
      <w:proofErr w:type="spellEnd"/>
      <w:r w:rsidRPr="00FA23DA">
        <w:rPr>
          <w:sz w:val="28"/>
          <w:szCs w:val="28"/>
        </w:rPr>
        <w:t xml:space="preserve"> </w:t>
      </w:r>
      <w:proofErr w:type="spellStart"/>
      <w:r w:rsidRPr="00FA23DA">
        <w:rPr>
          <w:sz w:val="28"/>
          <w:szCs w:val="28"/>
        </w:rPr>
        <w:t>Legal</w:t>
      </w:r>
      <w:proofErr w:type="spellEnd"/>
      <w:r w:rsidRPr="00FA23DA">
        <w:rPr>
          <w:sz w:val="28"/>
          <w:szCs w:val="28"/>
        </w:rPr>
        <w:t xml:space="preserve"> </w:t>
      </w:r>
      <w:proofErr w:type="spellStart"/>
      <w:r w:rsidRPr="00FA23DA">
        <w:rPr>
          <w:sz w:val="28"/>
          <w:szCs w:val="28"/>
        </w:rPr>
        <w:t>Foundations</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the</w:t>
      </w:r>
      <w:proofErr w:type="spellEnd"/>
      <w:r w:rsidRPr="00FA23DA">
        <w:rPr>
          <w:sz w:val="28"/>
          <w:szCs w:val="28"/>
        </w:rPr>
        <w:t xml:space="preserve"> </w:t>
      </w:r>
      <w:proofErr w:type="spellStart"/>
      <w:r w:rsidRPr="00FA23DA">
        <w:rPr>
          <w:sz w:val="28"/>
          <w:szCs w:val="28"/>
        </w:rPr>
        <w:t>Formation</w:t>
      </w:r>
      <w:proofErr w:type="spellEnd"/>
      <w:r w:rsidRPr="00FA23DA">
        <w:rPr>
          <w:sz w:val="28"/>
          <w:szCs w:val="28"/>
        </w:rPr>
        <w:t xml:space="preserve"> </w:t>
      </w:r>
      <w:proofErr w:type="spellStart"/>
      <w:r w:rsidRPr="00FA23DA">
        <w:rPr>
          <w:sz w:val="28"/>
          <w:szCs w:val="28"/>
        </w:rPr>
        <w:t>and</w:t>
      </w:r>
      <w:proofErr w:type="spellEnd"/>
      <w:r w:rsidRPr="00FA23DA">
        <w:rPr>
          <w:sz w:val="28"/>
          <w:szCs w:val="28"/>
        </w:rPr>
        <w:t xml:space="preserve"> </w:t>
      </w:r>
      <w:proofErr w:type="spellStart"/>
      <w:r w:rsidRPr="00FA23DA">
        <w:rPr>
          <w:sz w:val="28"/>
          <w:szCs w:val="28"/>
        </w:rPr>
        <w:t>Development</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Legal</w:t>
      </w:r>
      <w:proofErr w:type="spellEnd"/>
      <w:r w:rsidRPr="00FA23DA">
        <w:rPr>
          <w:sz w:val="28"/>
          <w:szCs w:val="28"/>
        </w:rPr>
        <w:t xml:space="preserve"> </w:t>
      </w:r>
      <w:proofErr w:type="spellStart"/>
      <w:r w:rsidRPr="00FA23DA">
        <w:rPr>
          <w:sz w:val="28"/>
          <w:szCs w:val="28"/>
        </w:rPr>
        <w:t>Interpretation</w:t>
      </w:r>
      <w:proofErr w:type="spellEnd"/>
      <w:r w:rsidRPr="00FA23DA">
        <w:rPr>
          <w:sz w:val="28"/>
          <w:szCs w:val="28"/>
        </w:rPr>
        <w:t xml:space="preserve"> </w:t>
      </w:r>
      <w:proofErr w:type="spellStart"/>
      <w:r w:rsidRPr="00FA23DA">
        <w:rPr>
          <w:sz w:val="28"/>
          <w:szCs w:val="28"/>
        </w:rPr>
        <w:t>in</w:t>
      </w:r>
      <w:proofErr w:type="spellEnd"/>
      <w:r w:rsidRPr="00FA23DA">
        <w:rPr>
          <w:sz w:val="28"/>
          <w:szCs w:val="28"/>
        </w:rPr>
        <w:t xml:space="preserve"> </w:t>
      </w:r>
      <w:proofErr w:type="spellStart"/>
      <w:r w:rsidRPr="00FA23DA">
        <w:rPr>
          <w:sz w:val="28"/>
          <w:szCs w:val="28"/>
        </w:rPr>
        <w:t>Legal</w:t>
      </w:r>
      <w:proofErr w:type="spellEnd"/>
      <w:r w:rsidRPr="00FA23DA">
        <w:rPr>
          <w:sz w:val="28"/>
          <w:szCs w:val="28"/>
        </w:rPr>
        <w:t xml:space="preserve"> </w:t>
      </w:r>
      <w:proofErr w:type="spellStart"/>
      <w:r w:rsidRPr="00FA23DA">
        <w:rPr>
          <w:sz w:val="28"/>
          <w:szCs w:val="28"/>
        </w:rPr>
        <w:t>Science</w:t>
      </w:r>
      <w:proofErr w:type="spellEnd"/>
      <w:r w:rsidRPr="00FA23DA">
        <w:rPr>
          <w:sz w:val="28"/>
          <w:szCs w:val="28"/>
        </w:rPr>
        <w:t xml:space="preserve">." </w:t>
      </w:r>
      <w:proofErr w:type="spellStart"/>
      <w:r w:rsidRPr="00FA23DA">
        <w:rPr>
          <w:rStyle w:val="Emphasis"/>
          <w:sz w:val="28"/>
          <w:szCs w:val="28"/>
        </w:rPr>
        <w:t>South</w:t>
      </w:r>
      <w:proofErr w:type="spellEnd"/>
      <w:r w:rsidRPr="00FA23DA">
        <w:rPr>
          <w:rStyle w:val="Emphasis"/>
          <w:sz w:val="28"/>
          <w:szCs w:val="28"/>
        </w:rPr>
        <w:t xml:space="preserve"> </w:t>
      </w:r>
      <w:proofErr w:type="spellStart"/>
      <w:r w:rsidRPr="00FA23DA">
        <w:rPr>
          <w:rStyle w:val="Emphasis"/>
          <w:sz w:val="28"/>
          <w:szCs w:val="28"/>
        </w:rPr>
        <w:t>Ukrainian</w:t>
      </w:r>
      <w:proofErr w:type="spellEnd"/>
      <w:r w:rsidRPr="00FA23DA">
        <w:rPr>
          <w:rStyle w:val="Emphasis"/>
          <w:sz w:val="28"/>
          <w:szCs w:val="28"/>
        </w:rPr>
        <w:t xml:space="preserve"> </w:t>
      </w:r>
      <w:proofErr w:type="spellStart"/>
      <w:r w:rsidRPr="00FA23DA">
        <w:rPr>
          <w:rStyle w:val="Emphasis"/>
          <w:sz w:val="28"/>
          <w:szCs w:val="28"/>
        </w:rPr>
        <w:t>Law</w:t>
      </w:r>
      <w:proofErr w:type="spellEnd"/>
      <w:r w:rsidRPr="00FA23DA">
        <w:rPr>
          <w:rStyle w:val="Emphasis"/>
          <w:sz w:val="28"/>
          <w:szCs w:val="28"/>
        </w:rPr>
        <w:t xml:space="preserve"> </w:t>
      </w:r>
      <w:proofErr w:type="spellStart"/>
      <w:r w:rsidRPr="00FA23DA">
        <w:rPr>
          <w:rStyle w:val="Emphasis"/>
          <w:sz w:val="28"/>
          <w:szCs w:val="28"/>
        </w:rPr>
        <w:t>Journal</w:t>
      </w:r>
      <w:proofErr w:type="spellEnd"/>
      <w:r w:rsidRPr="00FA23DA">
        <w:rPr>
          <w:sz w:val="28"/>
          <w:szCs w:val="28"/>
        </w:rPr>
        <w:t xml:space="preserve"> 1 (2013): 132–134. URL: </w:t>
      </w:r>
      <w:hyperlink r:id="rId33" w:tgtFrame="_new" w:history="1">
        <w:r w:rsidRPr="00FA23DA">
          <w:rPr>
            <w:rStyle w:val="Hyperlink"/>
            <w:sz w:val="28"/>
            <w:szCs w:val="28"/>
          </w:rPr>
          <w:t>http://nbuv.gov.ua/UJRN/Pupch_2013_1_44</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3D54E2F5" w14:textId="77777777" w:rsidR="00FA23DA" w:rsidRPr="00FA23DA" w:rsidRDefault="00FA23DA" w:rsidP="00FA23DA">
      <w:pPr>
        <w:pStyle w:val="NormalWeb"/>
        <w:spacing w:line="360" w:lineRule="auto"/>
        <w:rPr>
          <w:sz w:val="28"/>
          <w:szCs w:val="28"/>
        </w:rPr>
      </w:pPr>
      <w:proofErr w:type="spellStart"/>
      <w:r w:rsidRPr="00FA23DA">
        <w:rPr>
          <w:sz w:val="28"/>
          <w:szCs w:val="28"/>
        </w:rPr>
        <w:t>Jansen</w:t>
      </w:r>
      <w:proofErr w:type="spellEnd"/>
      <w:r w:rsidRPr="00FA23DA">
        <w:rPr>
          <w:sz w:val="28"/>
          <w:szCs w:val="28"/>
        </w:rPr>
        <w:t xml:space="preserve">, </w:t>
      </w:r>
      <w:proofErr w:type="spellStart"/>
      <w:r w:rsidRPr="00FA23DA">
        <w:rPr>
          <w:sz w:val="28"/>
          <w:szCs w:val="28"/>
        </w:rPr>
        <w:t>Briain</w:t>
      </w:r>
      <w:proofErr w:type="spellEnd"/>
      <w:r w:rsidRPr="00FA23DA">
        <w:rPr>
          <w:sz w:val="28"/>
          <w:szCs w:val="28"/>
        </w:rPr>
        <w:t>. "</w:t>
      </w:r>
      <w:proofErr w:type="spellStart"/>
      <w:r w:rsidRPr="00FA23DA">
        <w:rPr>
          <w:sz w:val="28"/>
          <w:szCs w:val="28"/>
        </w:rPr>
        <w:t>Dworkin’s</w:t>
      </w:r>
      <w:proofErr w:type="spellEnd"/>
      <w:r w:rsidRPr="00FA23DA">
        <w:rPr>
          <w:sz w:val="28"/>
          <w:szCs w:val="28"/>
        </w:rPr>
        <w:t xml:space="preserve"> </w:t>
      </w:r>
      <w:proofErr w:type="spellStart"/>
      <w:r w:rsidRPr="00FA23DA">
        <w:rPr>
          <w:sz w:val="28"/>
          <w:szCs w:val="28"/>
        </w:rPr>
        <w:t>Rights</w:t>
      </w:r>
      <w:proofErr w:type="spellEnd"/>
      <w:r w:rsidRPr="00FA23DA">
        <w:rPr>
          <w:sz w:val="28"/>
          <w:szCs w:val="28"/>
        </w:rPr>
        <w:t xml:space="preserve"> </w:t>
      </w:r>
      <w:proofErr w:type="spellStart"/>
      <w:r w:rsidRPr="00FA23DA">
        <w:rPr>
          <w:sz w:val="28"/>
          <w:szCs w:val="28"/>
        </w:rPr>
        <w:t>Conception</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the</w:t>
      </w:r>
      <w:proofErr w:type="spellEnd"/>
      <w:r w:rsidRPr="00FA23DA">
        <w:rPr>
          <w:sz w:val="28"/>
          <w:szCs w:val="28"/>
        </w:rPr>
        <w:t xml:space="preserve"> </w:t>
      </w:r>
      <w:proofErr w:type="spellStart"/>
      <w:r w:rsidRPr="00FA23DA">
        <w:rPr>
          <w:sz w:val="28"/>
          <w:szCs w:val="28"/>
        </w:rPr>
        <w:t>Rule</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Law</w:t>
      </w:r>
      <w:proofErr w:type="spellEnd"/>
      <w:r w:rsidRPr="00FA23DA">
        <w:rPr>
          <w:sz w:val="28"/>
          <w:szCs w:val="28"/>
        </w:rPr>
        <w:t xml:space="preserve"> </w:t>
      </w:r>
      <w:proofErr w:type="spellStart"/>
      <w:r w:rsidRPr="00FA23DA">
        <w:rPr>
          <w:sz w:val="28"/>
          <w:szCs w:val="28"/>
        </w:rPr>
        <w:t>in</w:t>
      </w:r>
      <w:proofErr w:type="spellEnd"/>
      <w:r w:rsidRPr="00FA23DA">
        <w:rPr>
          <w:sz w:val="28"/>
          <w:szCs w:val="28"/>
        </w:rPr>
        <w:t xml:space="preserve"> </w:t>
      </w:r>
      <w:proofErr w:type="spellStart"/>
      <w:r w:rsidRPr="00FA23DA">
        <w:rPr>
          <w:sz w:val="28"/>
          <w:szCs w:val="28"/>
        </w:rPr>
        <w:t>Criminal</w:t>
      </w:r>
      <w:proofErr w:type="spellEnd"/>
      <w:r w:rsidRPr="00FA23DA">
        <w:rPr>
          <w:sz w:val="28"/>
          <w:szCs w:val="28"/>
        </w:rPr>
        <w:t xml:space="preserve"> </w:t>
      </w:r>
      <w:proofErr w:type="spellStart"/>
      <w:r w:rsidRPr="00FA23DA">
        <w:rPr>
          <w:sz w:val="28"/>
          <w:szCs w:val="28"/>
        </w:rPr>
        <w:t>Law</w:t>
      </w:r>
      <w:proofErr w:type="spellEnd"/>
      <w:r w:rsidRPr="00FA23DA">
        <w:rPr>
          <w:sz w:val="28"/>
          <w:szCs w:val="28"/>
        </w:rPr>
        <w:t xml:space="preserve">." </w:t>
      </w:r>
      <w:proofErr w:type="spellStart"/>
      <w:r w:rsidRPr="00FA23DA">
        <w:rPr>
          <w:rStyle w:val="Emphasis"/>
          <w:sz w:val="28"/>
          <w:szCs w:val="28"/>
        </w:rPr>
        <w:t>Netherlands</w:t>
      </w:r>
      <w:proofErr w:type="spellEnd"/>
      <w:r w:rsidRPr="00FA23DA">
        <w:rPr>
          <w:rStyle w:val="Emphasis"/>
          <w:sz w:val="28"/>
          <w:szCs w:val="28"/>
        </w:rPr>
        <w:t xml:space="preserve"> </w:t>
      </w:r>
      <w:proofErr w:type="spellStart"/>
      <w:r w:rsidRPr="00FA23DA">
        <w:rPr>
          <w:rStyle w:val="Emphasis"/>
          <w:sz w:val="28"/>
          <w:szCs w:val="28"/>
        </w:rPr>
        <w:t>Journal</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Legal</w:t>
      </w:r>
      <w:proofErr w:type="spellEnd"/>
      <w:r w:rsidRPr="00FA23DA">
        <w:rPr>
          <w:rStyle w:val="Emphasis"/>
          <w:sz w:val="28"/>
          <w:szCs w:val="28"/>
        </w:rPr>
        <w:t xml:space="preserve"> </w:t>
      </w:r>
      <w:proofErr w:type="spellStart"/>
      <w:r w:rsidRPr="00FA23DA">
        <w:rPr>
          <w:rStyle w:val="Emphasis"/>
          <w:sz w:val="28"/>
          <w:szCs w:val="28"/>
        </w:rPr>
        <w:t>Philosophy</w:t>
      </w:r>
      <w:proofErr w:type="spellEnd"/>
      <w:r w:rsidRPr="00FA23DA">
        <w:rPr>
          <w:sz w:val="28"/>
          <w:szCs w:val="28"/>
        </w:rPr>
        <w:t xml:space="preserve"> 46, </w:t>
      </w:r>
      <w:proofErr w:type="spellStart"/>
      <w:r w:rsidRPr="00FA23DA">
        <w:rPr>
          <w:sz w:val="28"/>
          <w:szCs w:val="28"/>
        </w:rPr>
        <w:t>no</w:t>
      </w:r>
      <w:proofErr w:type="spellEnd"/>
      <w:r w:rsidRPr="00FA23DA">
        <w:rPr>
          <w:sz w:val="28"/>
          <w:szCs w:val="28"/>
        </w:rPr>
        <w:t xml:space="preserve">. 2 (2017): 160–176. </w:t>
      </w:r>
      <w:hyperlink r:id="rId34" w:tgtFrame="_new" w:history="1">
        <w:r w:rsidRPr="00FA23DA">
          <w:rPr>
            <w:rStyle w:val="Hyperlink"/>
            <w:sz w:val="28"/>
            <w:szCs w:val="28"/>
          </w:rPr>
          <w:t>https://doi.org/10.5553/njlp/221307132017046002004</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7C93ADD6" w14:textId="77777777" w:rsidR="00FA23DA" w:rsidRPr="00FA23DA" w:rsidRDefault="00FA23DA" w:rsidP="00FA23DA">
      <w:pPr>
        <w:pStyle w:val="NormalWeb"/>
        <w:spacing w:line="360" w:lineRule="auto"/>
        <w:rPr>
          <w:sz w:val="28"/>
          <w:szCs w:val="28"/>
        </w:rPr>
      </w:pPr>
      <w:proofErr w:type="spellStart"/>
      <w:r w:rsidRPr="00FA23DA">
        <w:rPr>
          <w:sz w:val="28"/>
          <w:szCs w:val="28"/>
        </w:rPr>
        <w:t>Johnston</w:t>
      </w:r>
      <w:proofErr w:type="spellEnd"/>
      <w:r w:rsidRPr="00FA23DA">
        <w:rPr>
          <w:sz w:val="28"/>
          <w:szCs w:val="28"/>
        </w:rPr>
        <w:t xml:space="preserve">, </w:t>
      </w:r>
      <w:proofErr w:type="spellStart"/>
      <w:r w:rsidRPr="00FA23DA">
        <w:rPr>
          <w:sz w:val="28"/>
          <w:szCs w:val="28"/>
        </w:rPr>
        <w:t>David</w:t>
      </w:r>
      <w:proofErr w:type="spellEnd"/>
      <w:r w:rsidRPr="00FA23DA">
        <w:rPr>
          <w:sz w:val="28"/>
          <w:szCs w:val="28"/>
        </w:rPr>
        <w:t xml:space="preserve">. </w:t>
      </w:r>
      <w:proofErr w:type="spellStart"/>
      <w:r w:rsidRPr="00FA23DA">
        <w:rPr>
          <w:rStyle w:val="Emphasis"/>
          <w:sz w:val="28"/>
          <w:szCs w:val="28"/>
        </w:rPr>
        <w:t>Cambridge</w:t>
      </w:r>
      <w:proofErr w:type="spellEnd"/>
      <w:r w:rsidRPr="00FA23DA">
        <w:rPr>
          <w:rStyle w:val="Emphasis"/>
          <w:sz w:val="28"/>
          <w:szCs w:val="28"/>
        </w:rPr>
        <w:t xml:space="preserve"> </w:t>
      </w:r>
      <w:proofErr w:type="spellStart"/>
      <w:r w:rsidRPr="00FA23DA">
        <w:rPr>
          <w:rStyle w:val="Emphasis"/>
          <w:sz w:val="28"/>
          <w:szCs w:val="28"/>
        </w:rPr>
        <w:t>Companion</w:t>
      </w:r>
      <w:proofErr w:type="spellEnd"/>
      <w:r w:rsidRPr="00FA23DA">
        <w:rPr>
          <w:rStyle w:val="Emphasis"/>
          <w:sz w:val="28"/>
          <w:szCs w:val="28"/>
        </w:rPr>
        <w:t xml:space="preserve"> </w:t>
      </w:r>
      <w:proofErr w:type="spellStart"/>
      <w:r w:rsidRPr="00FA23DA">
        <w:rPr>
          <w:rStyle w:val="Emphasis"/>
          <w:sz w:val="28"/>
          <w:szCs w:val="28"/>
        </w:rPr>
        <w:t>to</w:t>
      </w:r>
      <w:proofErr w:type="spellEnd"/>
      <w:r w:rsidRPr="00FA23DA">
        <w:rPr>
          <w:rStyle w:val="Emphasis"/>
          <w:sz w:val="28"/>
          <w:szCs w:val="28"/>
        </w:rPr>
        <w:t xml:space="preserve"> </w:t>
      </w:r>
      <w:proofErr w:type="spellStart"/>
      <w:r w:rsidRPr="00FA23DA">
        <w:rPr>
          <w:rStyle w:val="Emphasis"/>
          <w:sz w:val="28"/>
          <w:szCs w:val="28"/>
        </w:rPr>
        <w:t>Roman</w:t>
      </w:r>
      <w:proofErr w:type="spellEnd"/>
      <w:r w:rsidRPr="00FA23DA">
        <w:rPr>
          <w:rStyle w:val="Emphasis"/>
          <w:sz w:val="28"/>
          <w:szCs w:val="28"/>
        </w:rPr>
        <w:t xml:space="preserve"> </w:t>
      </w:r>
      <w:proofErr w:type="spellStart"/>
      <w:r w:rsidRPr="00FA23DA">
        <w:rPr>
          <w:rStyle w:val="Emphasis"/>
          <w:sz w:val="28"/>
          <w:szCs w:val="28"/>
        </w:rPr>
        <w:t>Law</w:t>
      </w:r>
      <w:proofErr w:type="spellEnd"/>
      <w:r w:rsidRPr="00FA23DA">
        <w:rPr>
          <w:sz w:val="28"/>
          <w:szCs w:val="28"/>
        </w:rPr>
        <w:t xml:space="preserve">. </w:t>
      </w:r>
      <w:proofErr w:type="spellStart"/>
      <w:r w:rsidRPr="00FA23DA">
        <w:rPr>
          <w:sz w:val="28"/>
          <w:szCs w:val="28"/>
        </w:rPr>
        <w:t>Cambridge</w:t>
      </w:r>
      <w:proofErr w:type="spellEnd"/>
      <w:r w:rsidRPr="00FA23DA">
        <w:rPr>
          <w:sz w:val="28"/>
          <w:szCs w:val="28"/>
        </w:rPr>
        <w:t xml:space="preserve">: </w:t>
      </w:r>
      <w:proofErr w:type="spellStart"/>
      <w:r w:rsidRPr="00FA23DA">
        <w:rPr>
          <w:sz w:val="28"/>
          <w:szCs w:val="28"/>
        </w:rPr>
        <w:t>Cambridge</w:t>
      </w:r>
      <w:proofErr w:type="spellEnd"/>
      <w:r w:rsidRPr="00FA23DA">
        <w:rPr>
          <w:sz w:val="28"/>
          <w:szCs w:val="28"/>
        </w:rPr>
        <w:t xml:space="preserve"> </w:t>
      </w:r>
      <w:proofErr w:type="spellStart"/>
      <w:r w:rsidRPr="00FA23DA">
        <w:rPr>
          <w:sz w:val="28"/>
          <w:szCs w:val="28"/>
        </w:rPr>
        <w:t>University</w:t>
      </w:r>
      <w:proofErr w:type="spellEnd"/>
      <w:r w:rsidRPr="00FA23DA">
        <w:rPr>
          <w:sz w:val="28"/>
          <w:szCs w:val="28"/>
        </w:rPr>
        <w:t xml:space="preserve"> </w:t>
      </w:r>
      <w:proofErr w:type="spellStart"/>
      <w:r w:rsidRPr="00FA23DA">
        <w:rPr>
          <w:sz w:val="28"/>
          <w:szCs w:val="28"/>
        </w:rPr>
        <w:t>Press</w:t>
      </w:r>
      <w:proofErr w:type="spellEnd"/>
      <w:r w:rsidRPr="00FA23DA">
        <w:rPr>
          <w:sz w:val="28"/>
          <w:szCs w:val="28"/>
        </w:rPr>
        <w:t>, 2015.</w:t>
      </w:r>
    </w:p>
    <w:p w14:paraId="4880ECF8" w14:textId="77777777" w:rsidR="00FA23DA" w:rsidRPr="00FA23DA" w:rsidRDefault="00FA23DA" w:rsidP="00FA23DA">
      <w:pPr>
        <w:pStyle w:val="NormalWeb"/>
        <w:spacing w:line="360" w:lineRule="auto"/>
        <w:rPr>
          <w:sz w:val="28"/>
          <w:szCs w:val="28"/>
        </w:rPr>
      </w:pPr>
      <w:proofErr w:type="spellStart"/>
      <w:r w:rsidRPr="00FA23DA">
        <w:rPr>
          <w:sz w:val="28"/>
          <w:szCs w:val="28"/>
        </w:rPr>
        <w:t>Karnaukh</w:t>
      </w:r>
      <w:proofErr w:type="spellEnd"/>
      <w:r w:rsidRPr="00FA23DA">
        <w:rPr>
          <w:sz w:val="28"/>
          <w:szCs w:val="28"/>
        </w:rPr>
        <w:t>, T. M. "</w:t>
      </w:r>
      <w:proofErr w:type="spellStart"/>
      <w:r w:rsidRPr="00FA23DA">
        <w:rPr>
          <w:sz w:val="28"/>
          <w:szCs w:val="28"/>
        </w:rPr>
        <w:t>Problems</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Application</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Legal</w:t>
      </w:r>
      <w:proofErr w:type="spellEnd"/>
      <w:r w:rsidRPr="00FA23DA">
        <w:rPr>
          <w:sz w:val="28"/>
          <w:szCs w:val="28"/>
        </w:rPr>
        <w:t xml:space="preserve"> </w:t>
      </w:r>
      <w:proofErr w:type="spellStart"/>
      <w:r w:rsidRPr="00FA23DA">
        <w:rPr>
          <w:sz w:val="28"/>
          <w:szCs w:val="28"/>
        </w:rPr>
        <w:t>Analogy</w:t>
      </w:r>
      <w:proofErr w:type="spellEnd"/>
      <w:r w:rsidRPr="00FA23DA">
        <w:rPr>
          <w:sz w:val="28"/>
          <w:szCs w:val="28"/>
        </w:rPr>
        <w:t xml:space="preserve"> </w:t>
      </w:r>
      <w:proofErr w:type="spellStart"/>
      <w:r w:rsidRPr="00FA23DA">
        <w:rPr>
          <w:sz w:val="28"/>
          <w:szCs w:val="28"/>
        </w:rPr>
        <w:t>in</w:t>
      </w:r>
      <w:proofErr w:type="spellEnd"/>
      <w:r w:rsidRPr="00FA23DA">
        <w:rPr>
          <w:sz w:val="28"/>
          <w:szCs w:val="28"/>
        </w:rPr>
        <w:t xml:space="preserve"> </w:t>
      </w:r>
      <w:proofErr w:type="spellStart"/>
      <w:r w:rsidRPr="00FA23DA">
        <w:rPr>
          <w:sz w:val="28"/>
          <w:szCs w:val="28"/>
        </w:rPr>
        <w:t>Civil</w:t>
      </w:r>
      <w:proofErr w:type="spellEnd"/>
      <w:r w:rsidRPr="00FA23DA">
        <w:rPr>
          <w:sz w:val="28"/>
          <w:szCs w:val="28"/>
        </w:rPr>
        <w:t xml:space="preserve"> </w:t>
      </w:r>
      <w:proofErr w:type="spellStart"/>
      <w:r w:rsidRPr="00FA23DA">
        <w:rPr>
          <w:sz w:val="28"/>
          <w:szCs w:val="28"/>
        </w:rPr>
        <w:t>Legal</w:t>
      </w:r>
      <w:proofErr w:type="spellEnd"/>
      <w:r w:rsidRPr="00FA23DA">
        <w:rPr>
          <w:sz w:val="28"/>
          <w:szCs w:val="28"/>
        </w:rPr>
        <w:t xml:space="preserve"> </w:t>
      </w:r>
      <w:proofErr w:type="spellStart"/>
      <w:r w:rsidRPr="00FA23DA">
        <w:rPr>
          <w:sz w:val="28"/>
          <w:szCs w:val="28"/>
        </w:rPr>
        <w:t>Proceedings</w:t>
      </w:r>
      <w:proofErr w:type="spellEnd"/>
      <w:r w:rsidRPr="00FA23DA">
        <w:rPr>
          <w:sz w:val="28"/>
          <w:szCs w:val="28"/>
        </w:rPr>
        <w:t xml:space="preserve">." </w:t>
      </w:r>
      <w:proofErr w:type="spellStart"/>
      <w:r w:rsidRPr="00FA23DA">
        <w:rPr>
          <w:rStyle w:val="Emphasis"/>
          <w:sz w:val="28"/>
          <w:szCs w:val="28"/>
        </w:rPr>
        <w:t>NaUKMA</w:t>
      </w:r>
      <w:proofErr w:type="spellEnd"/>
      <w:r w:rsidRPr="00FA23DA">
        <w:rPr>
          <w:rStyle w:val="Emphasis"/>
          <w:sz w:val="28"/>
          <w:szCs w:val="28"/>
        </w:rPr>
        <w:t xml:space="preserve"> </w:t>
      </w:r>
      <w:proofErr w:type="spellStart"/>
      <w:r w:rsidRPr="00FA23DA">
        <w:rPr>
          <w:rStyle w:val="Emphasis"/>
          <w:sz w:val="28"/>
          <w:szCs w:val="28"/>
        </w:rPr>
        <w:t>Research</w:t>
      </w:r>
      <w:proofErr w:type="spellEnd"/>
      <w:r w:rsidRPr="00FA23DA">
        <w:rPr>
          <w:rStyle w:val="Emphasis"/>
          <w:sz w:val="28"/>
          <w:szCs w:val="28"/>
        </w:rPr>
        <w:t xml:space="preserve"> </w:t>
      </w:r>
      <w:proofErr w:type="spellStart"/>
      <w:r w:rsidRPr="00FA23DA">
        <w:rPr>
          <w:rStyle w:val="Emphasis"/>
          <w:sz w:val="28"/>
          <w:szCs w:val="28"/>
        </w:rPr>
        <w:t>Papers</w:t>
      </w:r>
      <w:proofErr w:type="spellEnd"/>
      <w:r w:rsidRPr="00FA23DA">
        <w:rPr>
          <w:sz w:val="28"/>
          <w:szCs w:val="28"/>
        </w:rPr>
        <w:t xml:space="preserve"> (2010): 106–109.</w:t>
      </w:r>
    </w:p>
    <w:p w14:paraId="150FB43F" w14:textId="77777777" w:rsidR="00FA23DA" w:rsidRPr="00FA23DA" w:rsidRDefault="00FA23DA" w:rsidP="00FA23DA">
      <w:pPr>
        <w:pStyle w:val="NormalWeb"/>
        <w:spacing w:line="360" w:lineRule="auto"/>
        <w:rPr>
          <w:sz w:val="28"/>
          <w:szCs w:val="28"/>
        </w:rPr>
      </w:pPr>
      <w:proofErr w:type="spellStart"/>
      <w:r w:rsidRPr="00FA23DA">
        <w:rPr>
          <w:sz w:val="28"/>
          <w:szCs w:val="28"/>
        </w:rPr>
        <w:t>Khyliuk</w:t>
      </w:r>
      <w:proofErr w:type="spellEnd"/>
      <w:r w:rsidRPr="00FA23DA">
        <w:rPr>
          <w:sz w:val="28"/>
          <w:szCs w:val="28"/>
        </w:rPr>
        <w:t>, S. V. "</w:t>
      </w:r>
      <w:proofErr w:type="spellStart"/>
      <w:r w:rsidRPr="00FA23DA">
        <w:rPr>
          <w:sz w:val="28"/>
          <w:szCs w:val="28"/>
        </w:rPr>
        <w:t>Lex</w:t>
      </w:r>
      <w:proofErr w:type="spellEnd"/>
      <w:r w:rsidRPr="00FA23DA">
        <w:rPr>
          <w:sz w:val="28"/>
          <w:szCs w:val="28"/>
        </w:rPr>
        <w:t xml:space="preserve"> </w:t>
      </w:r>
      <w:proofErr w:type="spellStart"/>
      <w:r w:rsidRPr="00FA23DA">
        <w:rPr>
          <w:sz w:val="28"/>
          <w:szCs w:val="28"/>
        </w:rPr>
        <w:t>Stricta</w:t>
      </w:r>
      <w:proofErr w:type="spellEnd"/>
      <w:r w:rsidRPr="00FA23DA">
        <w:rPr>
          <w:sz w:val="28"/>
          <w:szCs w:val="28"/>
        </w:rPr>
        <w:t xml:space="preserve"> </w:t>
      </w:r>
      <w:proofErr w:type="spellStart"/>
      <w:r w:rsidRPr="00FA23DA">
        <w:rPr>
          <w:sz w:val="28"/>
          <w:szCs w:val="28"/>
        </w:rPr>
        <w:t>as</w:t>
      </w:r>
      <w:proofErr w:type="spellEnd"/>
      <w:r w:rsidRPr="00FA23DA">
        <w:rPr>
          <w:sz w:val="28"/>
          <w:szCs w:val="28"/>
        </w:rPr>
        <w:t xml:space="preserve"> a </w:t>
      </w:r>
      <w:proofErr w:type="spellStart"/>
      <w:r w:rsidRPr="00FA23DA">
        <w:rPr>
          <w:sz w:val="28"/>
          <w:szCs w:val="28"/>
        </w:rPr>
        <w:t>Component</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the</w:t>
      </w:r>
      <w:proofErr w:type="spellEnd"/>
      <w:r w:rsidRPr="00FA23DA">
        <w:rPr>
          <w:sz w:val="28"/>
          <w:szCs w:val="28"/>
        </w:rPr>
        <w:t xml:space="preserve"> </w:t>
      </w:r>
      <w:proofErr w:type="spellStart"/>
      <w:r w:rsidRPr="00FA23DA">
        <w:rPr>
          <w:sz w:val="28"/>
          <w:szCs w:val="28"/>
        </w:rPr>
        <w:t>Legality</w:t>
      </w:r>
      <w:proofErr w:type="spellEnd"/>
      <w:r w:rsidRPr="00FA23DA">
        <w:rPr>
          <w:sz w:val="28"/>
          <w:szCs w:val="28"/>
        </w:rPr>
        <w:t xml:space="preserve"> </w:t>
      </w:r>
      <w:proofErr w:type="spellStart"/>
      <w:r w:rsidRPr="00FA23DA">
        <w:rPr>
          <w:sz w:val="28"/>
          <w:szCs w:val="28"/>
        </w:rPr>
        <w:t>Principle</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Substantive</w:t>
      </w:r>
      <w:proofErr w:type="spellEnd"/>
      <w:r w:rsidRPr="00FA23DA">
        <w:rPr>
          <w:sz w:val="28"/>
          <w:szCs w:val="28"/>
        </w:rPr>
        <w:t xml:space="preserve"> </w:t>
      </w:r>
      <w:proofErr w:type="spellStart"/>
      <w:r w:rsidRPr="00FA23DA">
        <w:rPr>
          <w:sz w:val="28"/>
          <w:szCs w:val="28"/>
        </w:rPr>
        <w:t>Criminal</w:t>
      </w:r>
      <w:proofErr w:type="spellEnd"/>
      <w:r w:rsidRPr="00FA23DA">
        <w:rPr>
          <w:sz w:val="28"/>
          <w:szCs w:val="28"/>
        </w:rPr>
        <w:t xml:space="preserve"> </w:t>
      </w:r>
      <w:proofErr w:type="spellStart"/>
      <w:r w:rsidRPr="00FA23DA">
        <w:rPr>
          <w:sz w:val="28"/>
          <w:szCs w:val="28"/>
        </w:rPr>
        <w:t>Law</w:t>
      </w:r>
      <w:proofErr w:type="spellEnd"/>
      <w:r w:rsidRPr="00FA23DA">
        <w:rPr>
          <w:sz w:val="28"/>
          <w:szCs w:val="28"/>
        </w:rPr>
        <w:t xml:space="preserve"> </w:t>
      </w:r>
      <w:proofErr w:type="spellStart"/>
      <w:r w:rsidRPr="00FA23DA">
        <w:rPr>
          <w:sz w:val="28"/>
          <w:szCs w:val="28"/>
        </w:rPr>
        <w:t>in</w:t>
      </w:r>
      <w:proofErr w:type="spellEnd"/>
      <w:r w:rsidRPr="00FA23DA">
        <w:rPr>
          <w:sz w:val="28"/>
          <w:szCs w:val="28"/>
        </w:rPr>
        <w:t xml:space="preserve"> </w:t>
      </w:r>
      <w:proofErr w:type="spellStart"/>
      <w:r w:rsidRPr="00FA23DA">
        <w:rPr>
          <w:sz w:val="28"/>
          <w:szCs w:val="28"/>
        </w:rPr>
        <w:t>European</w:t>
      </w:r>
      <w:proofErr w:type="spellEnd"/>
      <w:r w:rsidRPr="00FA23DA">
        <w:rPr>
          <w:sz w:val="28"/>
          <w:szCs w:val="28"/>
        </w:rPr>
        <w:t xml:space="preserve"> </w:t>
      </w:r>
      <w:proofErr w:type="spellStart"/>
      <w:r w:rsidRPr="00FA23DA">
        <w:rPr>
          <w:sz w:val="28"/>
          <w:szCs w:val="28"/>
        </w:rPr>
        <w:t>Court</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Human</w:t>
      </w:r>
      <w:proofErr w:type="spellEnd"/>
      <w:r w:rsidRPr="00FA23DA">
        <w:rPr>
          <w:sz w:val="28"/>
          <w:szCs w:val="28"/>
        </w:rPr>
        <w:t xml:space="preserve"> </w:t>
      </w:r>
      <w:proofErr w:type="spellStart"/>
      <w:r w:rsidRPr="00FA23DA">
        <w:rPr>
          <w:sz w:val="28"/>
          <w:szCs w:val="28"/>
        </w:rPr>
        <w:t>Rights</w:t>
      </w:r>
      <w:proofErr w:type="spellEnd"/>
      <w:r w:rsidRPr="00FA23DA">
        <w:rPr>
          <w:sz w:val="28"/>
          <w:szCs w:val="28"/>
        </w:rPr>
        <w:t xml:space="preserve"> </w:t>
      </w:r>
      <w:proofErr w:type="spellStart"/>
      <w:r w:rsidRPr="00FA23DA">
        <w:rPr>
          <w:sz w:val="28"/>
          <w:szCs w:val="28"/>
        </w:rPr>
        <w:t>Interpretation</w:t>
      </w:r>
      <w:proofErr w:type="spellEnd"/>
      <w:r w:rsidRPr="00FA23DA">
        <w:rPr>
          <w:sz w:val="28"/>
          <w:szCs w:val="28"/>
        </w:rPr>
        <w:t xml:space="preserve">." </w:t>
      </w:r>
      <w:proofErr w:type="spellStart"/>
      <w:r w:rsidRPr="00FA23DA">
        <w:rPr>
          <w:rStyle w:val="Emphasis"/>
          <w:sz w:val="28"/>
          <w:szCs w:val="28"/>
        </w:rPr>
        <w:t>Bulletin</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the</w:t>
      </w:r>
      <w:proofErr w:type="spellEnd"/>
      <w:r w:rsidRPr="00FA23DA">
        <w:rPr>
          <w:rStyle w:val="Emphasis"/>
          <w:sz w:val="28"/>
          <w:szCs w:val="28"/>
        </w:rPr>
        <w:t xml:space="preserve"> </w:t>
      </w:r>
      <w:proofErr w:type="spellStart"/>
      <w:r w:rsidRPr="00FA23DA">
        <w:rPr>
          <w:rStyle w:val="Emphasis"/>
          <w:sz w:val="28"/>
          <w:szCs w:val="28"/>
        </w:rPr>
        <w:t>Academy</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Advocacy</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Ukraine</w:t>
      </w:r>
      <w:proofErr w:type="spellEnd"/>
      <w:r w:rsidRPr="00FA23DA">
        <w:rPr>
          <w:sz w:val="28"/>
          <w:szCs w:val="28"/>
        </w:rPr>
        <w:t xml:space="preserve"> 7, </w:t>
      </w:r>
      <w:proofErr w:type="spellStart"/>
      <w:r w:rsidRPr="00FA23DA">
        <w:rPr>
          <w:sz w:val="28"/>
          <w:szCs w:val="28"/>
        </w:rPr>
        <w:t>no</w:t>
      </w:r>
      <w:proofErr w:type="spellEnd"/>
      <w:r w:rsidRPr="00FA23DA">
        <w:rPr>
          <w:sz w:val="28"/>
          <w:szCs w:val="28"/>
        </w:rPr>
        <w:t xml:space="preserve">. 3 (2014): 92–103. URL: </w:t>
      </w:r>
      <w:hyperlink r:id="rId35" w:tgtFrame="_new" w:history="1">
        <w:r w:rsidRPr="00FA23DA">
          <w:rPr>
            <w:rStyle w:val="Hyperlink"/>
            <w:sz w:val="28"/>
            <w:szCs w:val="28"/>
          </w:rPr>
          <w:t>http://nbuv.gov.ua/UJRN/Chaau_2014_7_3_13</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168299AC" w14:textId="77777777" w:rsidR="00FA23DA" w:rsidRPr="00FA23DA" w:rsidRDefault="00FA23DA" w:rsidP="00FA23DA">
      <w:pPr>
        <w:pStyle w:val="NormalWeb"/>
        <w:spacing w:line="360" w:lineRule="auto"/>
        <w:rPr>
          <w:sz w:val="28"/>
          <w:szCs w:val="28"/>
        </w:rPr>
      </w:pPr>
      <w:proofErr w:type="spellStart"/>
      <w:r w:rsidRPr="00FA23DA">
        <w:rPr>
          <w:sz w:val="28"/>
          <w:szCs w:val="28"/>
        </w:rPr>
        <w:t>Koziubra</w:t>
      </w:r>
      <w:proofErr w:type="spellEnd"/>
      <w:r w:rsidRPr="00FA23DA">
        <w:rPr>
          <w:sz w:val="28"/>
          <w:szCs w:val="28"/>
        </w:rPr>
        <w:t xml:space="preserve">, M. I., </w:t>
      </w:r>
      <w:proofErr w:type="spellStart"/>
      <w:r w:rsidRPr="00FA23DA">
        <w:rPr>
          <w:sz w:val="28"/>
          <w:szCs w:val="28"/>
        </w:rPr>
        <w:t>ed</w:t>
      </w:r>
      <w:proofErr w:type="spellEnd"/>
      <w:r w:rsidRPr="00FA23DA">
        <w:rPr>
          <w:sz w:val="28"/>
          <w:szCs w:val="28"/>
        </w:rPr>
        <w:t xml:space="preserve">. </w:t>
      </w:r>
      <w:proofErr w:type="spellStart"/>
      <w:r w:rsidRPr="00FA23DA">
        <w:rPr>
          <w:rStyle w:val="Emphasis"/>
          <w:sz w:val="28"/>
          <w:szCs w:val="28"/>
        </w:rPr>
        <w:t>General</w:t>
      </w:r>
      <w:proofErr w:type="spellEnd"/>
      <w:r w:rsidRPr="00FA23DA">
        <w:rPr>
          <w:rStyle w:val="Emphasis"/>
          <w:sz w:val="28"/>
          <w:szCs w:val="28"/>
        </w:rPr>
        <w:t xml:space="preserve"> </w:t>
      </w:r>
      <w:proofErr w:type="spellStart"/>
      <w:r w:rsidRPr="00FA23DA">
        <w:rPr>
          <w:rStyle w:val="Emphasis"/>
          <w:sz w:val="28"/>
          <w:szCs w:val="28"/>
        </w:rPr>
        <w:t>Theory</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Law</w:t>
      </w:r>
      <w:proofErr w:type="spellEnd"/>
      <w:r w:rsidRPr="00FA23DA">
        <w:rPr>
          <w:sz w:val="28"/>
          <w:szCs w:val="28"/>
        </w:rPr>
        <w:t xml:space="preserve">. </w:t>
      </w:r>
      <w:proofErr w:type="spellStart"/>
      <w:r w:rsidRPr="00FA23DA">
        <w:rPr>
          <w:sz w:val="28"/>
          <w:szCs w:val="28"/>
        </w:rPr>
        <w:t>Kyiv</w:t>
      </w:r>
      <w:proofErr w:type="spellEnd"/>
      <w:r w:rsidRPr="00FA23DA">
        <w:rPr>
          <w:sz w:val="28"/>
          <w:szCs w:val="28"/>
        </w:rPr>
        <w:t xml:space="preserve">: </w:t>
      </w:r>
      <w:proofErr w:type="spellStart"/>
      <w:r w:rsidRPr="00FA23DA">
        <w:rPr>
          <w:sz w:val="28"/>
          <w:szCs w:val="28"/>
        </w:rPr>
        <w:t>Vaité</w:t>
      </w:r>
      <w:proofErr w:type="spellEnd"/>
      <w:r w:rsidRPr="00FA23DA">
        <w:rPr>
          <w:sz w:val="28"/>
          <w:szCs w:val="28"/>
        </w:rPr>
        <w:t>, 2015.</w:t>
      </w:r>
    </w:p>
    <w:p w14:paraId="2B4E2B96" w14:textId="77777777" w:rsidR="00FA23DA" w:rsidRPr="00FA23DA" w:rsidRDefault="00FA23DA" w:rsidP="00FA23DA">
      <w:pPr>
        <w:pStyle w:val="NormalWeb"/>
        <w:spacing w:line="360" w:lineRule="auto"/>
        <w:rPr>
          <w:sz w:val="28"/>
          <w:szCs w:val="28"/>
        </w:rPr>
      </w:pPr>
      <w:proofErr w:type="spellStart"/>
      <w:r w:rsidRPr="00FA23DA">
        <w:rPr>
          <w:sz w:val="28"/>
          <w:szCs w:val="28"/>
        </w:rPr>
        <w:t>Malenta</w:t>
      </w:r>
      <w:proofErr w:type="spellEnd"/>
      <w:r w:rsidRPr="00FA23DA">
        <w:rPr>
          <w:sz w:val="28"/>
          <w:szCs w:val="28"/>
        </w:rPr>
        <w:t>, V. S. "</w:t>
      </w:r>
      <w:proofErr w:type="spellStart"/>
      <w:r w:rsidRPr="00FA23DA">
        <w:rPr>
          <w:sz w:val="28"/>
          <w:szCs w:val="28"/>
        </w:rPr>
        <w:t>Historical</w:t>
      </w:r>
      <w:proofErr w:type="spellEnd"/>
      <w:r w:rsidRPr="00FA23DA">
        <w:rPr>
          <w:sz w:val="28"/>
          <w:szCs w:val="28"/>
        </w:rPr>
        <w:t xml:space="preserve"> </w:t>
      </w:r>
      <w:proofErr w:type="spellStart"/>
      <w:r w:rsidRPr="00FA23DA">
        <w:rPr>
          <w:sz w:val="28"/>
          <w:szCs w:val="28"/>
        </w:rPr>
        <w:t>Aspects</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the</w:t>
      </w:r>
      <w:proofErr w:type="spellEnd"/>
      <w:r w:rsidRPr="00FA23DA">
        <w:rPr>
          <w:sz w:val="28"/>
          <w:szCs w:val="28"/>
        </w:rPr>
        <w:t xml:space="preserve"> </w:t>
      </w:r>
      <w:proofErr w:type="spellStart"/>
      <w:r w:rsidRPr="00FA23DA">
        <w:rPr>
          <w:sz w:val="28"/>
          <w:szCs w:val="28"/>
        </w:rPr>
        <w:t>Development</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Legal</w:t>
      </w:r>
      <w:proofErr w:type="spellEnd"/>
      <w:r w:rsidRPr="00FA23DA">
        <w:rPr>
          <w:sz w:val="28"/>
          <w:szCs w:val="28"/>
        </w:rPr>
        <w:t xml:space="preserve"> </w:t>
      </w:r>
      <w:proofErr w:type="spellStart"/>
      <w:r w:rsidRPr="00FA23DA">
        <w:rPr>
          <w:sz w:val="28"/>
          <w:szCs w:val="28"/>
        </w:rPr>
        <w:t>Interpretation</w:t>
      </w:r>
      <w:proofErr w:type="spellEnd"/>
      <w:r w:rsidRPr="00FA23DA">
        <w:rPr>
          <w:sz w:val="28"/>
          <w:szCs w:val="28"/>
        </w:rPr>
        <w:t xml:space="preserve">." </w:t>
      </w:r>
      <w:proofErr w:type="spellStart"/>
      <w:r w:rsidRPr="00FA23DA">
        <w:rPr>
          <w:rStyle w:val="Emphasis"/>
          <w:sz w:val="28"/>
          <w:szCs w:val="28"/>
        </w:rPr>
        <w:t>Bulletin</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the</w:t>
      </w:r>
      <w:proofErr w:type="spellEnd"/>
      <w:r w:rsidRPr="00FA23DA">
        <w:rPr>
          <w:rStyle w:val="Emphasis"/>
          <w:sz w:val="28"/>
          <w:szCs w:val="28"/>
        </w:rPr>
        <w:t xml:space="preserve"> </w:t>
      </w:r>
      <w:proofErr w:type="spellStart"/>
      <w:r w:rsidRPr="00FA23DA">
        <w:rPr>
          <w:rStyle w:val="Emphasis"/>
          <w:sz w:val="28"/>
          <w:szCs w:val="28"/>
        </w:rPr>
        <w:t>Academy</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Advocacy</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Ukraine</w:t>
      </w:r>
      <w:proofErr w:type="spellEnd"/>
      <w:r w:rsidRPr="00FA23DA">
        <w:rPr>
          <w:sz w:val="28"/>
          <w:szCs w:val="28"/>
        </w:rPr>
        <w:t xml:space="preserve"> 1 (2010): 18–21. URL: </w:t>
      </w:r>
      <w:hyperlink r:id="rId36" w:tgtFrame="_new" w:history="1">
        <w:r w:rsidRPr="00FA23DA">
          <w:rPr>
            <w:rStyle w:val="Hyperlink"/>
            <w:sz w:val="28"/>
            <w:szCs w:val="28"/>
          </w:rPr>
          <w:t>http://nbuv.gov.ua/UJRN/vaau_2010_1_5</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70EAD3A2" w14:textId="77777777" w:rsidR="00FA23DA" w:rsidRPr="00FA23DA" w:rsidRDefault="00FA23DA" w:rsidP="00FA23DA">
      <w:pPr>
        <w:pStyle w:val="NormalWeb"/>
        <w:spacing w:line="360" w:lineRule="auto"/>
        <w:rPr>
          <w:sz w:val="28"/>
          <w:szCs w:val="28"/>
        </w:rPr>
      </w:pPr>
      <w:proofErr w:type="spellStart"/>
      <w:r w:rsidRPr="00FA23DA">
        <w:rPr>
          <w:sz w:val="28"/>
          <w:szCs w:val="28"/>
        </w:rPr>
        <w:t>Mykolenko</w:t>
      </w:r>
      <w:proofErr w:type="spellEnd"/>
      <w:r w:rsidRPr="00FA23DA">
        <w:rPr>
          <w:sz w:val="28"/>
          <w:szCs w:val="28"/>
        </w:rPr>
        <w:t>, O. I. "</w:t>
      </w:r>
      <w:proofErr w:type="spellStart"/>
      <w:r w:rsidRPr="00FA23DA">
        <w:rPr>
          <w:sz w:val="28"/>
          <w:szCs w:val="28"/>
        </w:rPr>
        <w:t>Separation</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National</w:t>
      </w:r>
      <w:proofErr w:type="spellEnd"/>
      <w:r w:rsidRPr="00FA23DA">
        <w:rPr>
          <w:sz w:val="28"/>
          <w:szCs w:val="28"/>
        </w:rPr>
        <w:t xml:space="preserve"> </w:t>
      </w:r>
      <w:proofErr w:type="spellStart"/>
      <w:r w:rsidRPr="00FA23DA">
        <w:rPr>
          <w:sz w:val="28"/>
          <w:szCs w:val="28"/>
        </w:rPr>
        <w:t>Law</w:t>
      </w:r>
      <w:proofErr w:type="spellEnd"/>
      <w:r w:rsidRPr="00FA23DA">
        <w:rPr>
          <w:sz w:val="28"/>
          <w:szCs w:val="28"/>
        </w:rPr>
        <w:t xml:space="preserve"> </w:t>
      </w:r>
      <w:proofErr w:type="spellStart"/>
      <w:r w:rsidRPr="00FA23DA">
        <w:rPr>
          <w:sz w:val="28"/>
          <w:szCs w:val="28"/>
        </w:rPr>
        <w:t>into</w:t>
      </w:r>
      <w:proofErr w:type="spellEnd"/>
      <w:r w:rsidRPr="00FA23DA">
        <w:rPr>
          <w:sz w:val="28"/>
          <w:szCs w:val="28"/>
        </w:rPr>
        <w:t xml:space="preserve"> </w:t>
      </w:r>
      <w:proofErr w:type="spellStart"/>
      <w:r w:rsidRPr="00FA23DA">
        <w:rPr>
          <w:sz w:val="28"/>
          <w:szCs w:val="28"/>
        </w:rPr>
        <w:t>Public</w:t>
      </w:r>
      <w:proofErr w:type="spellEnd"/>
      <w:r w:rsidRPr="00FA23DA">
        <w:rPr>
          <w:sz w:val="28"/>
          <w:szCs w:val="28"/>
        </w:rPr>
        <w:t xml:space="preserve"> </w:t>
      </w:r>
      <w:proofErr w:type="spellStart"/>
      <w:r w:rsidRPr="00FA23DA">
        <w:rPr>
          <w:sz w:val="28"/>
          <w:szCs w:val="28"/>
        </w:rPr>
        <w:t>and</w:t>
      </w:r>
      <w:proofErr w:type="spellEnd"/>
      <w:r w:rsidRPr="00FA23DA">
        <w:rPr>
          <w:sz w:val="28"/>
          <w:szCs w:val="28"/>
        </w:rPr>
        <w:t xml:space="preserve"> </w:t>
      </w:r>
      <w:proofErr w:type="spellStart"/>
      <w:r w:rsidRPr="00FA23DA">
        <w:rPr>
          <w:sz w:val="28"/>
          <w:szCs w:val="28"/>
        </w:rPr>
        <w:t>Private</w:t>
      </w:r>
      <w:proofErr w:type="spellEnd"/>
      <w:r w:rsidRPr="00FA23DA">
        <w:rPr>
          <w:sz w:val="28"/>
          <w:szCs w:val="28"/>
        </w:rPr>
        <w:t xml:space="preserve"> </w:t>
      </w:r>
      <w:proofErr w:type="spellStart"/>
      <w:r w:rsidRPr="00FA23DA">
        <w:rPr>
          <w:sz w:val="28"/>
          <w:szCs w:val="28"/>
        </w:rPr>
        <w:t>Law</w:t>
      </w:r>
      <w:proofErr w:type="spellEnd"/>
      <w:r w:rsidRPr="00FA23DA">
        <w:rPr>
          <w:sz w:val="28"/>
          <w:szCs w:val="28"/>
        </w:rPr>
        <w:t xml:space="preserve"> </w:t>
      </w:r>
      <w:proofErr w:type="spellStart"/>
      <w:r w:rsidRPr="00FA23DA">
        <w:rPr>
          <w:sz w:val="28"/>
          <w:szCs w:val="28"/>
        </w:rPr>
        <w:t>and</w:t>
      </w:r>
      <w:proofErr w:type="spellEnd"/>
      <w:r w:rsidRPr="00FA23DA">
        <w:rPr>
          <w:sz w:val="28"/>
          <w:szCs w:val="28"/>
        </w:rPr>
        <w:t xml:space="preserve"> </w:t>
      </w:r>
      <w:proofErr w:type="spellStart"/>
      <w:r w:rsidRPr="00FA23DA">
        <w:rPr>
          <w:sz w:val="28"/>
          <w:szCs w:val="28"/>
        </w:rPr>
        <w:t>Its</w:t>
      </w:r>
      <w:proofErr w:type="spellEnd"/>
      <w:r w:rsidRPr="00FA23DA">
        <w:rPr>
          <w:sz w:val="28"/>
          <w:szCs w:val="28"/>
        </w:rPr>
        <w:t xml:space="preserve"> </w:t>
      </w:r>
      <w:proofErr w:type="spellStart"/>
      <w:r w:rsidRPr="00FA23DA">
        <w:rPr>
          <w:sz w:val="28"/>
          <w:szCs w:val="28"/>
        </w:rPr>
        <w:t>Theoretical</w:t>
      </w:r>
      <w:proofErr w:type="spellEnd"/>
      <w:r w:rsidRPr="00FA23DA">
        <w:rPr>
          <w:sz w:val="28"/>
          <w:szCs w:val="28"/>
        </w:rPr>
        <w:t xml:space="preserve"> </w:t>
      </w:r>
      <w:proofErr w:type="spellStart"/>
      <w:r w:rsidRPr="00FA23DA">
        <w:rPr>
          <w:sz w:val="28"/>
          <w:szCs w:val="28"/>
        </w:rPr>
        <w:t>and</w:t>
      </w:r>
      <w:proofErr w:type="spellEnd"/>
      <w:r w:rsidRPr="00FA23DA">
        <w:rPr>
          <w:sz w:val="28"/>
          <w:szCs w:val="28"/>
        </w:rPr>
        <w:t xml:space="preserve"> </w:t>
      </w:r>
      <w:proofErr w:type="spellStart"/>
      <w:r w:rsidRPr="00FA23DA">
        <w:rPr>
          <w:sz w:val="28"/>
          <w:szCs w:val="28"/>
        </w:rPr>
        <w:t>Practical</w:t>
      </w:r>
      <w:proofErr w:type="spellEnd"/>
      <w:r w:rsidRPr="00FA23DA">
        <w:rPr>
          <w:sz w:val="28"/>
          <w:szCs w:val="28"/>
        </w:rPr>
        <w:t xml:space="preserve"> </w:t>
      </w:r>
      <w:proofErr w:type="spellStart"/>
      <w:r w:rsidRPr="00FA23DA">
        <w:rPr>
          <w:sz w:val="28"/>
          <w:szCs w:val="28"/>
        </w:rPr>
        <w:t>Importance</w:t>
      </w:r>
      <w:proofErr w:type="spellEnd"/>
      <w:r w:rsidRPr="00FA23DA">
        <w:rPr>
          <w:sz w:val="28"/>
          <w:szCs w:val="28"/>
        </w:rPr>
        <w:t xml:space="preserve">." </w:t>
      </w:r>
      <w:proofErr w:type="spellStart"/>
      <w:r w:rsidRPr="00FA23DA">
        <w:rPr>
          <w:rStyle w:val="Emphasis"/>
          <w:sz w:val="28"/>
          <w:szCs w:val="28"/>
        </w:rPr>
        <w:t>Rule</w:t>
      </w:r>
      <w:proofErr w:type="spellEnd"/>
      <w:r w:rsidRPr="00FA23DA">
        <w:rPr>
          <w:rStyle w:val="Emphasis"/>
          <w:sz w:val="28"/>
          <w:szCs w:val="28"/>
        </w:rPr>
        <w:t xml:space="preserve"> </w:t>
      </w:r>
      <w:proofErr w:type="spellStart"/>
      <w:r w:rsidRPr="00FA23DA">
        <w:rPr>
          <w:rStyle w:val="Emphasis"/>
          <w:sz w:val="28"/>
          <w:szCs w:val="28"/>
        </w:rPr>
        <w:t>of</w:t>
      </w:r>
      <w:proofErr w:type="spellEnd"/>
      <w:r w:rsidRPr="00FA23DA">
        <w:rPr>
          <w:rStyle w:val="Emphasis"/>
          <w:sz w:val="28"/>
          <w:szCs w:val="28"/>
        </w:rPr>
        <w:t xml:space="preserve"> </w:t>
      </w:r>
      <w:proofErr w:type="spellStart"/>
      <w:r w:rsidRPr="00FA23DA">
        <w:rPr>
          <w:rStyle w:val="Emphasis"/>
          <w:sz w:val="28"/>
          <w:szCs w:val="28"/>
        </w:rPr>
        <w:t>Law</w:t>
      </w:r>
      <w:proofErr w:type="spellEnd"/>
      <w:r w:rsidRPr="00FA23DA">
        <w:rPr>
          <w:sz w:val="28"/>
          <w:szCs w:val="28"/>
        </w:rPr>
        <w:t xml:space="preserve"> 23 (2016): 58–64. URL: </w:t>
      </w:r>
      <w:hyperlink r:id="rId37" w:tgtFrame="_new" w:history="1">
        <w:r w:rsidRPr="00FA23DA">
          <w:rPr>
            <w:rStyle w:val="Hyperlink"/>
            <w:sz w:val="28"/>
            <w:szCs w:val="28"/>
          </w:rPr>
          <w:t>http://nbuv.gov.ua/UJRN/Prav_2016_23_13</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7BC5EC41" w14:textId="77777777" w:rsidR="00FA23DA" w:rsidRPr="00FA23DA" w:rsidRDefault="00FA23DA" w:rsidP="00FA23DA">
      <w:pPr>
        <w:pStyle w:val="NormalWeb"/>
        <w:spacing w:line="360" w:lineRule="auto"/>
        <w:rPr>
          <w:sz w:val="28"/>
          <w:szCs w:val="28"/>
        </w:rPr>
      </w:pPr>
      <w:proofErr w:type="spellStart"/>
      <w:r w:rsidRPr="00FA23DA">
        <w:rPr>
          <w:rStyle w:val="Emphasis"/>
          <w:sz w:val="28"/>
          <w:szCs w:val="28"/>
        </w:rPr>
        <w:lastRenderedPageBreak/>
        <w:t>Rogers</w:t>
      </w:r>
      <w:proofErr w:type="spellEnd"/>
      <w:r w:rsidRPr="00FA23DA">
        <w:rPr>
          <w:rStyle w:val="Emphasis"/>
          <w:sz w:val="28"/>
          <w:szCs w:val="28"/>
        </w:rPr>
        <w:t xml:space="preserve"> v. </w:t>
      </w:r>
      <w:proofErr w:type="spellStart"/>
      <w:r w:rsidRPr="00FA23DA">
        <w:rPr>
          <w:rStyle w:val="Emphasis"/>
          <w:sz w:val="28"/>
          <w:szCs w:val="28"/>
        </w:rPr>
        <w:t>Tennessee</w:t>
      </w:r>
      <w:proofErr w:type="spellEnd"/>
      <w:r w:rsidRPr="00FA23DA">
        <w:rPr>
          <w:sz w:val="28"/>
          <w:szCs w:val="28"/>
        </w:rPr>
        <w:t xml:space="preserve">, 532 U.S. 451 (2001). URL: </w:t>
      </w:r>
      <w:hyperlink r:id="rId38" w:tgtFrame="_new" w:history="1">
        <w:r w:rsidRPr="00FA23DA">
          <w:rPr>
            <w:rStyle w:val="Hyperlink"/>
            <w:sz w:val="28"/>
            <w:szCs w:val="28"/>
          </w:rPr>
          <w:t>https://supreme.justia.com/cases/federal/us/532/451/</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730563EF" w14:textId="77777777" w:rsidR="00FA23DA" w:rsidRPr="00FA23DA" w:rsidRDefault="00FA23DA" w:rsidP="00FA23DA">
      <w:pPr>
        <w:pStyle w:val="NormalWeb"/>
        <w:spacing w:line="360" w:lineRule="auto"/>
        <w:rPr>
          <w:sz w:val="28"/>
          <w:szCs w:val="28"/>
        </w:rPr>
      </w:pPr>
      <w:proofErr w:type="spellStart"/>
      <w:r w:rsidRPr="00FA23DA">
        <w:rPr>
          <w:rStyle w:val="Emphasis"/>
          <w:sz w:val="28"/>
          <w:szCs w:val="28"/>
        </w:rPr>
        <w:t>Streletz</w:t>
      </w:r>
      <w:proofErr w:type="spellEnd"/>
      <w:r w:rsidRPr="00FA23DA">
        <w:rPr>
          <w:rStyle w:val="Emphasis"/>
          <w:sz w:val="28"/>
          <w:szCs w:val="28"/>
        </w:rPr>
        <w:t xml:space="preserve">, </w:t>
      </w:r>
      <w:proofErr w:type="spellStart"/>
      <w:r w:rsidRPr="00FA23DA">
        <w:rPr>
          <w:rStyle w:val="Emphasis"/>
          <w:sz w:val="28"/>
          <w:szCs w:val="28"/>
        </w:rPr>
        <w:t>Kessler</w:t>
      </w:r>
      <w:proofErr w:type="spellEnd"/>
      <w:r w:rsidRPr="00FA23DA">
        <w:rPr>
          <w:rStyle w:val="Emphasis"/>
          <w:sz w:val="28"/>
          <w:szCs w:val="28"/>
        </w:rPr>
        <w:t xml:space="preserve"> </w:t>
      </w:r>
      <w:proofErr w:type="spellStart"/>
      <w:r w:rsidRPr="00FA23DA">
        <w:rPr>
          <w:rStyle w:val="Emphasis"/>
          <w:sz w:val="28"/>
          <w:szCs w:val="28"/>
        </w:rPr>
        <w:t>and</w:t>
      </w:r>
      <w:proofErr w:type="spellEnd"/>
      <w:r w:rsidRPr="00FA23DA">
        <w:rPr>
          <w:rStyle w:val="Emphasis"/>
          <w:sz w:val="28"/>
          <w:szCs w:val="28"/>
        </w:rPr>
        <w:t xml:space="preserve"> </w:t>
      </w:r>
      <w:proofErr w:type="spellStart"/>
      <w:r w:rsidRPr="00FA23DA">
        <w:rPr>
          <w:rStyle w:val="Emphasis"/>
          <w:sz w:val="28"/>
          <w:szCs w:val="28"/>
        </w:rPr>
        <w:t>Krenz</w:t>
      </w:r>
      <w:proofErr w:type="spellEnd"/>
      <w:r w:rsidRPr="00FA23DA">
        <w:rPr>
          <w:rStyle w:val="Emphasis"/>
          <w:sz w:val="28"/>
          <w:szCs w:val="28"/>
        </w:rPr>
        <w:t xml:space="preserve"> v. </w:t>
      </w:r>
      <w:proofErr w:type="spellStart"/>
      <w:r w:rsidRPr="00FA23DA">
        <w:rPr>
          <w:rStyle w:val="Emphasis"/>
          <w:sz w:val="28"/>
          <w:szCs w:val="28"/>
        </w:rPr>
        <w:t>Germany</w:t>
      </w:r>
      <w:proofErr w:type="spellEnd"/>
      <w:r w:rsidRPr="00FA23DA">
        <w:rPr>
          <w:sz w:val="28"/>
          <w:szCs w:val="28"/>
        </w:rPr>
        <w:t xml:space="preserve">, </w:t>
      </w:r>
      <w:proofErr w:type="spellStart"/>
      <w:r w:rsidRPr="00FA23DA">
        <w:rPr>
          <w:sz w:val="28"/>
          <w:szCs w:val="28"/>
        </w:rPr>
        <w:t>nos</w:t>
      </w:r>
      <w:proofErr w:type="spellEnd"/>
      <w:r w:rsidRPr="00FA23DA">
        <w:rPr>
          <w:sz w:val="28"/>
          <w:szCs w:val="28"/>
        </w:rPr>
        <w:t xml:space="preserve">. 34044/96, 35532/97, 44801/98, </w:t>
      </w:r>
      <w:proofErr w:type="spellStart"/>
      <w:r w:rsidRPr="00FA23DA">
        <w:rPr>
          <w:sz w:val="28"/>
          <w:szCs w:val="28"/>
        </w:rPr>
        <w:t>European</w:t>
      </w:r>
      <w:proofErr w:type="spellEnd"/>
      <w:r w:rsidRPr="00FA23DA">
        <w:rPr>
          <w:sz w:val="28"/>
          <w:szCs w:val="28"/>
        </w:rPr>
        <w:t xml:space="preserve"> </w:t>
      </w:r>
      <w:proofErr w:type="spellStart"/>
      <w:r w:rsidRPr="00FA23DA">
        <w:rPr>
          <w:sz w:val="28"/>
          <w:szCs w:val="28"/>
        </w:rPr>
        <w:t>Court</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Human</w:t>
      </w:r>
      <w:proofErr w:type="spellEnd"/>
      <w:r w:rsidRPr="00FA23DA">
        <w:rPr>
          <w:sz w:val="28"/>
          <w:szCs w:val="28"/>
        </w:rPr>
        <w:t xml:space="preserve"> </w:t>
      </w:r>
      <w:proofErr w:type="spellStart"/>
      <w:r w:rsidRPr="00FA23DA">
        <w:rPr>
          <w:sz w:val="28"/>
          <w:szCs w:val="28"/>
        </w:rPr>
        <w:t>Rights</w:t>
      </w:r>
      <w:proofErr w:type="spellEnd"/>
      <w:r w:rsidRPr="00FA23DA">
        <w:rPr>
          <w:sz w:val="28"/>
          <w:szCs w:val="28"/>
        </w:rPr>
        <w:t xml:space="preserve">, 2001. URL: </w:t>
      </w:r>
      <w:hyperlink r:id="rId39" w:anchor="%7B%22itemid%22:%5B%22002-7100%22%5D%7D" w:tgtFrame="_new" w:history="1">
        <w:r w:rsidRPr="00FA23DA">
          <w:rPr>
            <w:rStyle w:val="Hyperlink"/>
            <w:sz w:val="28"/>
            <w:szCs w:val="28"/>
          </w:rPr>
          <w:t>https://hudoc.echr.coe.int/fre#%7B"itemid":["002-7100"]%7D</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30D7BE70" w14:textId="77777777" w:rsidR="00FA23DA" w:rsidRPr="00FA23DA" w:rsidRDefault="00FA23DA" w:rsidP="00FA23DA">
      <w:pPr>
        <w:pStyle w:val="NormalWeb"/>
        <w:spacing w:line="360" w:lineRule="auto"/>
        <w:rPr>
          <w:sz w:val="28"/>
          <w:szCs w:val="28"/>
        </w:rPr>
      </w:pPr>
      <w:proofErr w:type="spellStart"/>
      <w:r w:rsidRPr="00FA23DA">
        <w:rPr>
          <w:sz w:val="28"/>
          <w:szCs w:val="28"/>
        </w:rPr>
        <w:t>Verbeek</w:t>
      </w:r>
      <w:proofErr w:type="spellEnd"/>
      <w:r w:rsidRPr="00FA23DA">
        <w:rPr>
          <w:sz w:val="28"/>
          <w:szCs w:val="28"/>
        </w:rPr>
        <w:t xml:space="preserve">, </w:t>
      </w:r>
      <w:proofErr w:type="spellStart"/>
      <w:r w:rsidRPr="00FA23DA">
        <w:rPr>
          <w:sz w:val="28"/>
          <w:szCs w:val="28"/>
        </w:rPr>
        <w:t>Joris</w:t>
      </w:r>
      <w:proofErr w:type="spellEnd"/>
      <w:r w:rsidRPr="00FA23DA">
        <w:rPr>
          <w:sz w:val="28"/>
          <w:szCs w:val="28"/>
        </w:rPr>
        <w:t xml:space="preserve">. </w:t>
      </w:r>
      <w:proofErr w:type="spellStart"/>
      <w:r w:rsidRPr="00FA23DA">
        <w:rPr>
          <w:rStyle w:val="Emphasis"/>
          <w:sz w:val="28"/>
          <w:szCs w:val="28"/>
        </w:rPr>
        <w:t>Legality</w:t>
      </w:r>
      <w:proofErr w:type="spellEnd"/>
      <w:r w:rsidRPr="00FA23DA">
        <w:rPr>
          <w:rStyle w:val="Emphasis"/>
          <w:sz w:val="28"/>
          <w:szCs w:val="28"/>
        </w:rPr>
        <w:t xml:space="preserve"> </w:t>
      </w:r>
      <w:proofErr w:type="spellStart"/>
      <w:r w:rsidRPr="00FA23DA">
        <w:rPr>
          <w:rStyle w:val="Emphasis"/>
          <w:sz w:val="28"/>
          <w:szCs w:val="28"/>
        </w:rPr>
        <w:t>in</w:t>
      </w:r>
      <w:proofErr w:type="spellEnd"/>
      <w:r w:rsidRPr="00FA23DA">
        <w:rPr>
          <w:rStyle w:val="Emphasis"/>
          <w:sz w:val="28"/>
          <w:szCs w:val="28"/>
        </w:rPr>
        <w:t xml:space="preserve"> </w:t>
      </w:r>
      <w:proofErr w:type="spellStart"/>
      <w:r w:rsidRPr="00FA23DA">
        <w:rPr>
          <w:rStyle w:val="Emphasis"/>
          <w:sz w:val="28"/>
          <w:szCs w:val="28"/>
        </w:rPr>
        <w:t>International</w:t>
      </w:r>
      <w:proofErr w:type="spellEnd"/>
      <w:r w:rsidRPr="00FA23DA">
        <w:rPr>
          <w:rStyle w:val="Emphasis"/>
          <w:sz w:val="28"/>
          <w:szCs w:val="28"/>
        </w:rPr>
        <w:t xml:space="preserve"> </w:t>
      </w:r>
      <w:proofErr w:type="spellStart"/>
      <w:r w:rsidRPr="00FA23DA">
        <w:rPr>
          <w:rStyle w:val="Emphasis"/>
          <w:sz w:val="28"/>
          <w:szCs w:val="28"/>
        </w:rPr>
        <w:t>Criminal</w:t>
      </w:r>
      <w:proofErr w:type="spellEnd"/>
      <w:r w:rsidRPr="00FA23DA">
        <w:rPr>
          <w:rStyle w:val="Emphasis"/>
          <w:sz w:val="28"/>
          <w:szCs w:val="28"/>
        </w:rPr>
        <w:t xml:space="preserve"> </w:t>
      </w:r>
      <w:proofErr w:type="spellStart"/>
      <w:r w:rsidRPr="00FA23DA">
        <w:rPr>
          <w:rStyle w:val="Emphasis"/>
          <w:sz w:val="28"/>
          <w:szCs w:val="28"/>
        </w:rPr>
        <w:t>Law</w:t>
      </w:r>
      <w:proofErr w:type="spellEnd"/>
      <w:r w:rsidRPr="00FA23DA">
        <w:rPr>
          <w:rStyle w:val="Emphasis"/>
          <w:sz w:val="28"/>
          <w:szCs w:val="28"/>
        </w:rPr>
        <w:t xml:space="preserve">: A </w:t>
      </w:r>
      <w:proofErr w:type="spellStart"/>
      <w:r w:rsidRPr="00FA23DA">
        <w:rPr>
          <w:rStyle w:val="Emphasis"/>
          <w:sz w:val="28"/>
          <w:szCs w:val="28"/>
        </w:rPr>
        <w:t>Human</w:t>
      </w:r>
      <w:proofErr w:type="spellEnd"/>
      <w:r w:rsidRPr="00FA23DA">
        <w:rPr>
          <w:rStyle w:val="Emphasis"/>
          <w:sz w:val="28"/>
          <w:szCs w:val="28"/>
        </w:rPr>
        <w:t xml:space="preserve"> </w:t>
      </w:r>
      <w:proofErr w:type="spellStart"/>
      <w:r w:rsidRPr="00FA23DA">
        <w:rPr>
          <w:rStyle w:val="Emphasis"/>
          <w:sz w:val="28"/>
          <w:szCs w:val="28"/>
        </w:rPr>
        <w:t>Rights</w:t>
      </w:r>
      <w:proofErr w:type="spellEnd"/>
      <w:r w:rsidRPr="00FA23DA">
        <w:rPr>
          <w:rStyle w:val="Emphasis"/>
          <w:sz w:val="28"/>
          <w:szCs w:val="28"/>
        </w:rPr>
        <w:t xml:space="preserve"> Standard?</w:t>
      </w:r>
      <w:r w:rsidRPr="00FA23DA">
        <w:rPr>
          <w:sz w:val="28"/>
          <w:szCs w:val="28"/>
        </w:rPr>
        <w:t xml:space="preserve"> </w:t>
      </w:r>
      <w:proofErr w:type="spellStart"/>
      <w:r w:rsidRPr="00FA23DA">
        <w:rPr>
          <w:sz w:val="28"/>
          <w:szCs w:val="28"/>
        </w:rPr>
        <w:t>Lund</w:t>
      </w:r>
      <w:proofErr w:type="spellEnd"/>
      <w:r w:rsidRPr="00FA23DA">
        <w:rPr>
          <w:sz w:val="28"/>
          <w:szCs w:val="28"/>
        </w:rPr>
        <w:t xml:space="preserve">: </w:t>
      </w:r>
      <w:proofErr w:type="spellStart"/>
      <w:r w:rsidRPr="00FA23DA">
        <w:rPr>
          <w:sz w:val="28"/>
          <w:szCs w:val="28"/>
        </w:rPr>
        <w:t>Lund</w:t>
      </w:r>
      <w:proofErr w:type="spellEnd"/>
      <w:r w:rsidRPr="00FA23DA">
        <w:rPr>
          <w:sz w:val="28"/>
          <w:szCs w:val="28"/>
        </w:rPr>
        <w:t xml:space="preserve"> </w:t>
      </w:r>
      <w:proofErr w:type="spellStart"/>
      <w:r w:rsidRPr="00FA23DA">
        <w:rPr>
          <w:sz w:val="28"/>
          <w:szCs w:val="28"/>
        </w:rPr>
        <w:t>University</w:t>
      </w:r>
      <w:proofErr w:type="spellEnd"/>
      <w:r w:rsidRPr="00FA23DA">
        <w:rPr>
          <w:sz w:val="28"/>
          <w:szCs w:val="28"/>
        </w:rPr>
        <w:t>, 2005.</w:t>
      </w:r>
    </w:p>
    <w:p w14:paraId="5FB196D8" w14:textId="77777777" w:rsidR="00FA23DA" w:rsidRPr="00FA23DA" w:rsidRDefault="00FA23DA" w:rsidP="00FA23DA">
      <w:pPr>
        <w:pStyle w:val="NormalWeb"/>
        <w:spacing w:line="360" w:lineRule="auto"/>
        <w:rPr>
          <w:sz w:val="28"/>
          <w:szCs w:val="28"/>
        </w:rPr>
      </w:pPr>
      <w:proofErr w:type="spellStart"/>
      <w:r w:rsidRPr="00FA23DA">
        <w:rPr>
          <w:sz w:val="28"/>
          <w:szCs w:val="28"/>
        </w:rPr>
        <w:t>Zahyney</w:t>
      </w:r>
      <w:proofErr w:type="spellEnd"/>
      <w:r w:rsidRPr="00FA23DA">
        <w:rPr>
          <w:sz w:val="28"/>
          <w:szCs w:val="28"/>
        </w:rPr>
        <w:t xml:space="preserve">, Z. </w:t>
      </w:r>
      <w:proofErr w:type="spellStart"/>
      <w:r w:rsidRPr="00FA23DA">
        <w:rPr>
          <w:rStyle w:val="Emphasis"/>
          <w:sz w:val="28"/>
          <w:szCs w:val="28"/>
        </w:rPr>
        <w:t>Criminal</w:t>
      </w:r>
      <w:proofErr w:type="spellEnd"/>
      <w:r w:rsidRPr="00FA23DA">
        <w:rPr>
          <w:rStyle w:val="Emphasis"/>
          <w:sz w:val="28"/>
          <w:szCs w:val="28"/>
        </w:rPr>
        <w:t xml:space="preserve"> </w:t>
      </w:r>
      <w:proofErr w:type="spellStart"/>
      <w:r w:rsidRPr="00FA23DA">
        <w:rPr>
          <w:rStyle w:val="Emphasis"/>
          <w:sz w:val="28"/>
          <w:szCs w:val="28"/>
        </w:rPr>
        <w:t>Law</w:t>
      </w:r>
      <w:proofErr w:type="spellEnd"/>
      <w:r w:rsidRPr="00FA23DA">
        <w:rPr>
          <w:rStyle w:val="Emphasis"/>
          <w:sz w:val="28"/>
          <w:szCs w:val="28"/>
        </w:rPr>
        <w:t xml:space="preserve"> </w:t>
      </w:r>
      <w:proofErr w:type="spellStart"/>
      <w:r w:rsidRPr="00FA23DA">
        <w:rPr>
          <w:rStyle w:val="Emphasis"/>
          <w:sz w:val="28"/>
          <w:szCs w:val="28"/>
        </w:rPr>
        <w:t>Hermeneutics</w:t>
      </w:r>
      <w:proofErr w:type="spellEnd"/>
      <w:r w:rsidRPr="00FA23DA">
        <w:rPr>
          <w:sz w:val="28"/>
          <w:szCs w:val="28"/>
        </w:rPr>
        <w:t xml:space="preserve">. </w:t>
      </w:r>
      <w:proofErr w:type="spellStart"/>
      <w:r w:rsidRPr="00FA23DA">
        <w:rPr>
          <w:sz w:val="28"/>
          <w:szCs w:val="28"/>
        </w:rPr>
        <w:t>Kyiv</w:t>
      </w:r>
      <w:proofErr w:type="spellEnd"/>
      <w:r w:rsidRPr="00FA23DA">
        <w:rPr>
          <w:sz w:val="28"/>
          <w:szCs w:val="28"/>
        </w:rPr>
        <w:t>, 2015.</w:t>
      </w:r>
    </w:p>
    <w:p w14:paraId="3AF4B33D" w14:textId="77777777" w:rsidR="00FA23DA" w:rsidRPr="00FA23DA" w:rsidRDefault="00FA23DA" w:rsidP="00FA23DA">
      <w:pPr>
        <w:pStyle w:val="NormalWeb"/>
        <w:spacing w:line="360" w:lineRule="auto"/>
        <w:rPr>
          <w:sz w:val="28"/>
          <w:szCs w:val="28"/>
        </w:rPr>
      </w:pPr>
      <w:proofErr w:type="spellStart"/>
      <w:r w:rsidRPr="00FA23DA">
        <w:rPr>
          <w:sz w:val="28"/>
          <w:szCs w:val="28"/>
        </w:rPr>
        <w:t>Zvieriev</w:t>
      </w:r>
      <w:proofErr w:type="spellEnd"/>
      <w:r w:rsidRPr="00FA23DA">
        <w:rPr>
          <w:sz w:val="28"/>
          <w:szCs w:val="28"/>
        </w:rPr>
        <w:t>, Y. "</w:t>
      </w:r>
      <w:proofErr w:type="spellStart"/>
      <w:r w:rsidRPr="00FA23DA">
        <w:rPr>
          <w:sz w:val="28"/>
          <w:szCs w:val="28"/>
        </w:rPr>
        <w:t>The</w:t>
      </w:r>
      <w:proofErr w:type="spellEnd"/>
      <w:r w:rsidRPr="00FA23DA">
        <w:rPr>
          <w:sz w:val="28"/>
          <w:szCs w:val="28"/>
        </w:rPr>
        <w:t xml:space="preserve"> </w:t>
      </w:r>
      <w:proofErr w:type="spellStart"/>
      <w:r w:rsidRPr="00FA23DA">
        <w:rPr>
          <w:sz w:val="28"/>
          <w:szCs w:val="28"/>
        </w:rPr>
        <w:t>Interpretation</w:t>
      </w:r>
      <w:proofErr w:type="spellEnd"/>
      <w:r w:rsidRPr="00FA23DA">
        <w:rPr>
          <w:sz w:val="28"/>
          <w:szCs w:val="28"/>
        </w:rPr>
        <w:t xml:space="preserve"> </w:t>
      </w:r>
      <w:proofErr w:type="spellStart"/>
      <w:r w:rsidRPr="00FA23DA">
        <w:rPr>
          <w:sz w:val="28"/>
          <w:szCs w:val="28"/>
        </w:rPr>
        <w:t>of</w:t>
      </w:r>
      <w:proofErr w:type="spellEnd"/>
      <w:r w:rsidRPr="00FA23DA">
        <w:rPr>
          <w:sz w:val="28"/>
          <w:szCs w:val="28"/>
        </w:rPr>
        <w:t xml:space="preserve"> </w:t>
      </w:r>
      <w:proofErr w:type="spellStart"/>
      <w:r w:rsidRPr="00FA23DA">
        <w:rPr>
          <w:sz w:val="28"/>
          <w:szCs w:val="28"/>
        </w:rPr>
        <w:t>International</w:t>
      </w:r>
      <w:proofErr w:type="spellEnd"/>
      <w:r w:rsidRPr="00FA23DA">
        <w:rPr>
          <w:sz w:val="28"/>
          <w:szCs w:val="28"/>
        </w:rPr>
        <w:t xml:space="preserve"> </w:t>
      </w:r>
      <w:proofErr w:type="spellStart"/>
      <w:r w:rsidRPr="00FA23DA">
        <w:rPr>
          <w:sz w:val="28"/>
          <w:szCs w:val="28"/>
        </w:rPr>
        <w:t>Treaties</w:t>
      </w:r>
      <w:proofErr w:type="spellEnd"/>
      <w:r w:rsidRPr="00FA23DA">
        <w:rPr>
          <w:sz w:val="28"/>
          <w:szCs w:val="28"/>
        </w:rPr>
        <w:t xml:space="preserve"> </w:t>
      </w:r>
      <w:proofErr w:type="spellStart"/>
      <w:r w:rsidRPr="00FA23DA">
        <w:rPr>
          <w:sz w:val="28"/>
          <w:szCs w:val="28"/>
        </w:rPr>
        <w:t>by</w:t>
      </w:r>
      <w:proofErr w:type="spellEnd"/>
      <w:r w:rsidRPr="00FA23DA">
        <w:rPr>
          <w:sz w:val="28"/>
          <w:szCs w:val="28"/>
        </w:rPr>
        <w:t xml:space="preserve"> </w:t>
      </w:r>
      <w:proofErr w:type="spellStart"/>
      <w:r w:rsidRPr="00FA23DA">
        <w:rPr>
          <w:sz w:val="28"/>
          <w:szCs w:val="28"/>
        </w:rPr>
        <w:t>National</w:t>
      </w:r>
      <w:proofErr w:type="spellEnd"/>
      <w:r w:rsidRPr="00FA23DA">
        <w:rPr>
          <w:sz w:val="28"/>
          <w:szCs w:val="28"/>
        </w:rPr>
        <w:t xml:space="preserve"> </w:t>
      </w:r>
      <w:proofErr w:type="spellStart"/>
      <w:r w:rsidRPr="00FA23DA">
        <w:rPr>
          <w:sz w:val="28"/>
          <w:szCs w:val="28"/>
        </w:rPr>
        <w:t>Courts</w:t>
      </w:r>
      <w:proofErr w:type="spellEnd"/>
      <w:r w:rsidRPr="00FA23DA">
        <w:rPr>
          <w:sz w:val="28"/>
          <w:szCs w:val="28"/>
        </w:rPr>
        <w:t xml:space="preserve">: </w:t>
      </w:r>
      <w:proofErr w:type="spellStart"/>
      <w:r w:rsidRPr="00FA23DA">
        <w:rPr>
          <w:sz w:val="28"/>
          <w:szCs w:val="28"/>
        </w:rPr>
        <w:t>European</w:t>
      </w:r>
      <w:proofErr w:type="spellEnd"/>
      <w:r w:rsidRPr="00FA23DA">
        <w:rPr>
          <w:sz w:val="28"/>
          <w:szCs w:val="28"/>
        </w:rPr>
        <w:t xml:space="preserve"> </w:t>
      </w:r>
      <w:proofErr w:type="spellStart"/>
      <w:r w:rsidRPr="00FA23DA">
        <w:rPr>
          <w:sz w:val="28"/>
          <w:szCs w:val="28"/>
        </w:rPr>
        <w:t>Experience</w:t>
      </w:r>
      <w:proofErr w:type="spellEnd"/>
      <w:r w:rsidRPr="00FA23DA">
        <w:rPr>
          <w:sz w:val="28"/>
          <w:szCs w:val="28"/>
        </w:rPr>
        <w:t xml:space="preserve"> </w:t>
      </w:r>
      <w:proofErr w:type="spellStart"/>
      <w:r w:rsidRPr="00FA23DA">
        <w:rPr>
          <w:sz w:val="28"/>
          <w:szCs w:val="28"/>
        </w:rPr>
        <w:t>and</w:t>
      </w:r>
      <w:proofErr w:type="spellEnd"/>
      <w:r w:rsidRPr="00FA23DA">
        <w:rPr>
          <w:sz w:val="28"/>
          <w:szCs w:val="28"/>
        </w:rPr>
        <w:t xml:space="preserve"> </w:t>
      </w:r>
      <w:proofErr w:type="spellStart"/>
      <w:r w:rsidRPr="00FA23DA">
        <w:rPr>
          <w:sz w:val="28"/>
          <w:szCs w:val="28"/>
        </w:rPr>
        <w:t>Ukrainian</w:t>
      </w:r>
      <w:proofErr w:type="spellEnd"/>
      <w:r w:rsidRPr="00FA23DA">
        <w:rPr>
          <w:sz w:val="28"/>
          <w:szCs w:val="28"/>
        </w:rPr>
        <w:t xml:space="preserve"> </w:t>
      </w:r>
      <w:proofErr w:type="spellStart"/>
      <w:r w:rsidRPr="00FA23DA">
        <w:rPr>
          <w:sz w:val="28"/>
          <w:szCs w:val="28"/>
        </w:rPr>
        <w:t>Practice</w:t>
      </w:r>
      <w:proofErr w:type="spellEnd"/>
      <w:r w:rsidRPr="00FA23DA">
        <w:rPr>
          <w:sz w:val="28"/>
          <w:szCs w:val="28"/>
        </w:rPr>
        <w:t xml:space="preserve">." 2015. URL: </w:t>
      </w:r>
      <w:hyperlink r:id="rId40" w:tgtFrame="_new" w:history="1">
        <w:r w:rsidRPr="00FA23DA">
          <w:rPr>
            <w:rStyle w:val="Hyperlink"/>
            <w:sz w:val="28"/>
            <w:szCs w:val="28"/>
          </w:rPr>
          <w:t>http://ekmair.ukma.edu.ua/handle/123456789/5929</w:t>
        </w:r>
      </w:hyperlink>
      <w:r w:rsidRPr="00FA23DA">
        <w:rPr>
          <w:sz w:val="28"/>
          <w:szCs w:val="28"/>
        </w:rPr>
        <w:t xml:space="preserve"> (</w:t>
      </w:r>
      <w:proofErr w:type="spellStart"/>
      <w:r w:rsidRPr="00FA23DA">
        <w:rPr>
          <w:sz w:val="28"/>
          <w:szCs w:val="28"/>
        </w:rPr>
        <w:t>accessed</w:t>
      </w:r>
      <w:proofErr w:type="spellEnd"/>
      <w:r w:rsidRPr="00FA23DA">
        <w:rPr>
          <w:sz w:val="28"/>
          <w:szCs w:val="28"/>
        </w:rPr>
        <w:t xml:space="preserve"> </w:t>
      </w:r>
      <w:proofErr w:type="spellStart"/>
      <w:r w:rsidRPr="00FA23DA">
        <w:rPr>
          <w:sz w:val="28"/>
          <w:szCs w:val="28"/>
        </w:rPr>
        <w:t>April</w:t>
      </w:r>
      <w:proofErr w:type="spellEnd"/>
      <w:r w:rsidRPr="00FA23DA">
        <w:rPr>
          <w:sz w:val="28"/>
          <w:szCs w:val="28"/>
        </w:rPr>
        <w:t xml:space="preserve"> 9, 2025).</w:t>
      </w:r>
    </w:p>
    <w:p w14:paraId="10D6CD97" w14:textId="77777777" w:rsidR="003B53C6" w:rsidRPr="00FA23DA" w:rsidRDefault="003B53C6" w:rsidP="00FA23DA">
      <w:pPr>
        <w:pStyle w:val="ListParagraph"/>
        <w:spacing w:after="0" w:line="360" w:lineRule="auto"/>
        <w:ind w:hanging="720"/>
        <w:jc w:val="both"/>
        <w:rPr>
          <w:rFonts w:ascii="Times New Roman" w:hAnsi="Times New Roman" w:cs="Times New Roman"/>
          <w:sz w:val="28"/>
          <w:szCs w:val="28"/>
        </w:rPr>
      </w:pPr>
    </w:p>
    <w:p w14:paraId="1A0C171D" w14:textId="77777777" w:rsidR="003B53C6" w:rsidRPr="00FA23DA" w:rsidRDefault="003B53C6" w:rsidP="00FA23DA">
      <w:pPr>
        <w:pStyle w:val="ListParagraph"/>
        <w:spacing w:after="0" w:line="360" w:lineRule="auto"/>
        <w:ind w:hanging="720"/>
        <w:rPr>
          <w:rFonts w:ascii="Times New Roman" w:hAnsi="Times New Roman" w:cs="Times New Roman"/>
          <w:b/>
          <w:bCs/>
          <w:color w:val="000000"/>
          <w:sz w:val="28"/>
          <w:szCs w:val="28"/>
        </w:rPr>
      </w:pPr>
      <w:proofErr w:type="spellStart"/>
      <w:r w:rsidRPr="00FA23DA">
        <w:rPr>
          <w:rFonts w:ascii="Times New Roman" w:hAnsi="Times New Roman" w:cs="Times New Roman"/>
          <w:b/>
          <w:bCs/>
          <w:color w:val="000000"/>
          <w:sz w:val="28"/>
          <w:szCs w:val="28"/>
        </w:rPr>
        <w:t>Vladyslav</w:t>
      </w:r>
      <w:proofErr w:type="spellEnd"/>
      <w:r w:rsidRPr="00FA23DA">
        <w:rPr>
          <w:rFonts w:ascii="Times New Roman" w:hAnsi="Times New Roman" w:cs="Times New Roman"/>
          <w:b/>
          <w:bCs/>
          <w:color w:val="000000"/>
          <w:sz w:val="28"/>
          <w:szCs w:val="28"/>
        </w:rPr>
        <w:t xml:space="preserve"> </w:t>
      </w:r>
      <w:proofErr w:type="spellStart"/>
      <w:r w:rsidRPr="00FA23DA">
        <w:rPr>
          <w:rFonts w:ascii="Times New Roman" w:hAnsi="Times New Roman" w:cs="Times New Roman"/>
          <w:b/>
          <w:bCs/>
          <w:color w:val="000000"/>
          <w:sz w:val="28"/>
          <w:szCs w:val="28"/>
        </w:rPr>
        <w:t>Barylchenko</w:t>
      </w:r>
      <w:proofErr w:type="spellEnd"/>
    </w:p>
    <w:p w14:paraId="5CDF6463" w14:textId="77777777" w:rsidR="003B53C6" w:rsidRPr="00FA23DA" w:rsidRDefault="003B53C6" w:rsidP="00FA23DA">
      <w:pPr>
        <w:pStyle w:val="ListParagraph"/>
        <w:spacing w:after="0" w:line="360" w:lineRule="auto"/>
        <w:ind w:hanging="720"/>
        <w:rPr>
          <w:rFonts w:ascii="Times New Roman" w:hAnsi="Times New Roman" w:cs="Times New Roman"/>
          <w:b/>
          <w:bCs/>
          <w:color w:val="000000"/>
          <w:sz w:val="28"/>
          <w:szCs w:val="28"/>
        </w:rPr>
      </w:pPr>
    </w:p>
    <w:p w14:paraId="011B144B" w14:textId="77777777" w:rsidR="003B53C6" w:rsidRPr="00FA23DA" w:rsidRDefault="003B53C6" w:rsidP="00FA23DA">
      <w:pPr>
        <w:pStyle w:val="ListParagraph"/>
        <w:spacing w:after="0" w:line="360" w:lineRule="auto"/>
        <w:ind w:hanging="720"/>
        <w:jc w:val="center"/>
        <w:rPr>
          <w:rFonts w:ascii="Times New Roman" w:hAnsi="Times New Roman" w:cs="Times New Roman"/>
          <w:b/>
          <w:bCs/>
          <w:sz w:val="28"/>
          <w:szCs w:val="28"/>
        </w:rPr>
      </w:pPr>
      <w:r w:rsidRPr="00FA23DA">
        <w:rPr>
          <w:rFonts w:ascii="Times New Roman" w:hAnsi="Times New Roman" w:cs="Times New Roman"/>
          <w:b/>
          <w:bCs/>
          <w:sz w:val="28"/>
          <w:szCs w:val="28"/>
        </w:rPr>
        <w:t>PECULIARITIES OF INTERPRETATION IN CRIMINAL LAW</w:t>
      </w:r>
    </w:p>
    <w:p w14:paraId="06E62B0F" w14:textId="77777777" w:rsidR="003B53C6" w:rsidRPr="00FA23DA" w:rsidRDefault="003B53C6" w:rsidP="00FA23DA">
      <w:pPr>
        <w:pStyle w:val="ListParagraph"/>
        <w:spacing w:after="0" w:line="360" w:lineRule="auto"/>
        <w:ind w:hanging="720"/>
        <w:jc w:val="both"/>
        <w:rPr>
          <w:rFonts w:ascii="Times New Roman" w:hAnsi="Times New Roman" w:cs="Times New Roman"/>
          <w:sz w:val="28"/>
          <w:szCs w:val="28"/>
        </w:rPr>
      </w:pPr>
    </w:p>
    <w:p w14:paraId="170C36BD" w14:textId="7BA10F99" w:rsidR="003B53C6" w:rsidRPr="00FA23DA" w:rsidRDefault="003B53C6" w:rsidP="00FA23DA">
      <w:pPr>
        <w:pStyle w:val="ListParagraph"/>
        <w:spacing w:after="0" w:line="360" w:lineRule="auto"/>
        <w:ind w:left="0" w:firstLine="708"/>
        <w:jc w:val="both"/>
        <w:rPr>
          <w:rFonts w:ascii="Times New Roman" w:hAnsi="Times New Roman" w:cs="Times New Roman"/>
          <w:i/>
          <w:iCs/>
          <w:sz w:val="28"/>
          <w:szCs w:val="28"/>
        </w:rPr>
      </w:pP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article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examines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peculiarities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interpretation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criminal</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which</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given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peculiarities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specifics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this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branch</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is</w:t>
      </w:r>
      <w:proofErr w:type="spellEnd"/>
      <w:r w:rsidRPr="00FA23DA">
        <w:rPr>
          <w:rFonts w:ascii="Times New Roman" w:hAnsi="Times New Roman" w:cs="Times New Roman"/>
          <w:i/>
          <w:iCs/>
          <w:sz w:val="28"/>
          <w:szCs w:val="28"/>
        </w:rPr>
        <w:t xml:space="preserve"> a </w:t>
      </w:r>
      <w:proofErr w:type="spellStart"/>
      <w:r w:rsidRPr="00FA23DA">
        <w:rPr>
          <w:rFonts w:ascii="Times New Roman" w:hAnsi="Times New Roman" w:cs="Times New Roman"/>
          <w:i/>
          <w:iCs/>
          <w:sz w:val="28"/>
          <w:szCs w:val="28"/>
        </w:rPr>
        <w:t>topical</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issue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today</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particular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article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focuses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extensive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interpretation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criminal</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provisions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which</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still</w:t>
      </w:r>
      <w:proofErr w:type="spellEnd"/>
      <w:r w:rsidRPr="00FA23DA">
        <w:rPr>
          <w:rFonts w:ascii="Times New Roman" w:hAnsi="Times New Roman" w:cs="Times New Roman"/>
          <w:i/>
          <w:iCs/>
          <w:sz w:val="28"/>
          <w:szCs w:val="28"/>
        </w:rPr>
        <w:t xml:space="preserve"> a </w:t>
      </w:r>
      <w:proofErr w:type="spellStart"/>
      <w:r w:rsidRPr="00FA23DA">
        <w:rPr>
          <w:rFonts w:ascii="Times New Roman" w:hAnsi="Times New Roman" w:cs="Times New Roman"/>
          <w:i/>
          <w:iCs/>
          <w:sz w:val="28"/>
          <w:szCs w:val="28"/>
        </w:rPr>
        <w:t>matter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heated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debate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among</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scholars</w:t>
      </w:r>
      <w:proofErr w:type="spellEnd"/>
      <w:r w:rsidRPr="00FA23DA">
        <w:rPr>
          <w:rFonts w:ascii="Times New Roman" w:hAnsi="Times New Roman" w:cs="Times New Roman"/>
          <w:i/>
          <w:iCs/>
          <w:sz w:val="28"/>
          <w:szCs w:val="28"/>
        </w:rPr>
        <w:t>.</w:t>
      </w:r>
    </w:p>
    <w:p w14:paraId="4A9C9D2B" w14:textId="77777777" w:rsidR="003B53C6" w:rsidRPr="00FA23DA" w:rsidRDefault="003B53C6" w:rsidP="00FA23DA">
      <w:pPr>
        <w:pStyle w:val="ListParagraph"/>
        <w:spacing w:after="0" w:line="360" w:lineRule="auto"/>
        <w:ind w:left="0" w:firstLine="708"/>
        <w:jc w:val="both"/>
        <w:rPr>
          <w:rFonts w:ascii="Times New Roman" w:hAnsi="Times New Roman" w:cs="Times New Roman"/>
          <w:i/>
          <w:iCs/>
          <w:sz w:val="28"/>
          <w:szCs w:val="28"/>
        </w:rPr>
      </w:pP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author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provides</w:t>
      </w:r>
      <w:proofErr w:type="spellEnd"/>
      <w:r w:rsidRPr="00FA23DA">
        <w:rPr>
          <w:rFonts w:ascii="Times New Roman" w:hAnsi="Times New Roman" w:cs="Times New Roman"/>
          <w:i/>
          <w:iCs/>
          <w:sz w:val="28"/>
          <w:szCs w:val="28"/>
        </w:rPr>
        <w:t xml:space="preserve"> a </w:t>
      </w:r>
      <w:proofErr w:type="spellStart"/>
      <w:r w:rsidRPr="00FA23DA">
        <w:rPr>
          <w:rFonts w:ascii="Times New Roman" w:hAnsi="Times New Roman" w:cs="Times New Roman"/>
          <w:i/>
          <w:iCs/>
          <w:sz w:val="28"/>
          <w:szCs w:val="28"/>
        </w:rPr>
        <w:t>brief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overview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history</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development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concept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interpretation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changes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attitudes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towards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its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implementation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As</w:t>
      </w:r>
      <w:proofErr w:type="spellEnd"/>
      <w:r w:rsidRPr="00FA23DA">
        <w:rPr>
          <w:rFonts w:ascii="Times New Roman" w:hAnsi="Times New Roman" w:cs="Times New Roman"/>
          <w:i/>
          <w:iCs/>
          <w:sz w:val="28"/>
          <w:szCs w:val="28"/>
        </w:rPr>
        <w:t xml:space="preserve"> a </w:t>
      </w:r>
      <w:proofErr w:type="spellStart"/>
      <w:r w:rsidRPr="00FA23DA">
        <w:rPr>
          <w:rFonts w:ascii="Times New Roman" w:hAnsi="Times New Roman" w:cs="Times New Roman"/>
          <w:i/>
          <w:iCs/>
          <w:sz w:val="28"/>
          <w:szCs w:val="28"/>
        </w:rPr>
        <w:t>result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was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possible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to</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trace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that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issue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interpretation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not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new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but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goes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back</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to</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depths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history</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has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been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subject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reflection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discussion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for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centuries</w:t>
      </w:r>
      <w:proofErr w:type="spellEnd"/>
      <w:r w:rsidRPr="00FA23DA">
        <w:rPr>
          <w:rFonts w:ascii="Times New Roman" w:hAnsi="Times New Roman" w:cs="Times New Roman"/>
          <w:i/>
          <w:iCs/>
          <w:sz w:val="28"/>
          <w:szCs w:val="28"/>
        </w:rPr>
        <w:t>.</w:t>
      </w:r>
    </w:p>
    <w:p w14:paraId="75465069" w14:textId="77777777" w:rsidR="003B53C6" w:rsidRPr="00FA23DA" w:rsidRDefault="003B53C6" w:rsidP="00FA23DA">
      <w:pPr>
        <w:pStyle w:val="ListParagraph"/>
        <w:spacing w:after="0" w:line="360" w:lineRule="auto"/>
        <w:ind w:left="0" w:firstLine="708"/>
        <w:jc w:val="both"/>
        <w:rPr>
          <w:rFonts w:ascii="Times New Roman" w:hAnsi="Times New Roman" w:cs="Times New Roman"/>
          <w:i/>
          <w:iCs/>
          <w:sz w:val="28"/>
          <w:szCs w:val="28"/>
        </w:rPr>
      </w:pPr>
      <w:proofErr w:type="spellStart"/>
      <w:r w:rsidRPr="00FA23DA">
        <w:rPr>
          <w:rFonts w:ascii="Times New Roman" w:hAnsi="Times New Roman" w:cs="Times New Roman"/>
          <w:i/>
          <w:iCs/>
          <w:sz w:val="28"/>
          <w:szCs w:val="28"/>
        </w:rPr>
        <w:lastRenderedPageBreak/>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article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also</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draws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attention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to</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peculiarities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division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branches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into</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private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public</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need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for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such</w:t>
      </w:r>
      <w:proofErr w:type="spellEnd"/>
      <w:r w:rsidRPr="00FA23DA">
        <w:rPr>
          <w:rFonts w:ascii="Times New Roman" w:hAnsi="Times New Roman" w:cs="Times New Roman"/>
          <w:i/>
          <w:iCs/>
          <w:sz w:val="28"/>
          <w:szCs w:val="28"/>
        </w:rPr>
        <w:t xml:space="preserve"> a </w:t>
      </w:r>
      <w:proofErr w:type="spellStart"/>
      <w:r w:rsidRPr="00FA23DA">
        <w:rPr>
          <w:rFonts w:ascii="Times New Roman" w:hAnsi="Times New Roman" w:cs="Times New Roman"/>
          <w:i/>
          <w:iCs/>
          <w:sz w:val="28"/>
          <w:szCs w:val="28"/>
        </w:rPr>
        <w:t>division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author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concludes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that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such</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division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has</w:t>
      </w:r>
      <w:proofErr w:type="spellEnd"/>
      <w:r w:rsidRPr="00FA23DA">
        <w:rPr>
          <w:rFonts w:ascii="Times New Roman" w:hAnsi="Times New Roman" w:cs="Times New Roman"/>
          <w:i/>
          <w:iCs/>
          <w:sz w:val="28"/>
          <w:szCs w:val="28"/>
        </w:rPr>
        <w:t xml:space="preserve"> a </w:t>
      </w:r>
      <w:proofErr w:type="spellStart"/>
      <w:r w:rsidRPr="00FA23DA">
        <w:rPr>
          <w:rFonts w:ascii="Times New Roman" w:hAnsi="Times New Roman" w:cs="Times New Roman"/>
          <w:i/>
          <w:iCs/>
          <w:sz w:val="28"/>
          <w:szCs w:val="28"/>
        </w:rPr>
        <w:t>significant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impact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process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interpretation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legal</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provisions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same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time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author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emphasises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that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peculiarities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criminal</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provisions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do</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not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allow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classifying</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this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branch</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private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public</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Criminal</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provisions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are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a </w:t>
      </w:r>
      <w:proofErr w:type="spellStart"/>
      <w:r w:rsidRPr="00FA23DA">
        <w:rPr>
          <w:rFonts w:ascii="Times New Roman" w:hAnsi="Times New Roman" w:cs="Times New Roman"/>
          <w:i/>
          <w:iCs/>
          <w:sz w:val="28"/>
          <w:szCs w:val="28"/>
        </w:rPr>
        <w:t>specific</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nature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therefore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their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interpretation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has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its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own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peculiarities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requires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additional</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attention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particular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author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examined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attitude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scholars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position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courts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to</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interpretation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criminal</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provisions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including</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interpretation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by</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scope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particular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author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examined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case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German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Italian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courts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well</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cases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considered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by</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European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Court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Human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Rights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found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that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extended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interpretation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criminal</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provisions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may</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take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place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enforcement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practice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meets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challenges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time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need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for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justice</w:t>
      </w:r>
      <w:proofErr w:type="spellEnd"/>
      <w:r w:rsidRPr="00FA23DA">
        <w:rPr>
          <w:rFonts w:ascii="Times New Roman" w:hAnsi="Times New Roman" w:cs="Times New Roman"/>
          <w:i/>
          <w:iCs/>
          <w:sz w:val="28"/>
          <w:szCs w:val="28"/>
        </w:rPr>
        <w:t>.</w:t>
      </w:r>
    </w:p>
    <w:p w14:paraId="2587CB86" w14:textId="77777777" w:rsidR="003B53C6" w:rsidRPr="00FA23DA" w:rsidRDefault="003B53C6" w:rsidP="00FA23DA">
      <w:pPr>
        <w:pStyle w:val="ListParagraph"/>
        <w:spacing w:after="0" w:line="360" w:lineRule="auto"/>
        <w:ind w:left="0" w:firstLine="708"/>
        <w:jc w:val="both"/>
        <w:rPr>
          <w:rFonts w:ascii="Times New Roman" w:hAnsi="Times New Roman" w:cs="Times New Roman"/>
          <w:i/>
          <w:iCs/>
          <w:sz w:val="28"/>
          <w:szCs w:val="28"/>
        </w:rPr>
      </w:pPr>
      <w:proofErr w:type="spellStart"/>
      <w:r w:rsidRPr="00FA23DA">
        <w:rPr>
          <w:rFonts w:ascii="Times New Roman" w:hAnsi="Times New Roman" w:cs="Times New Roman"/>
          <w:i/>
          <w:iCs/>
          <w:sz w:val="28"/>
          <w:szCs w:val="28"/>
        </w:rPr>
        <w:t>As</w:t>
      </w:r>
      <w:proofErr w:type="spellEnd"/>
      <w:r w:rsidRPr="00FA23DA">
        <w:rPr>
          <w:rFonts w:ascii="Times New Roman" w:hAnsi="Times New Roman" w:cs="Times New Roman"/>
          <w:i/>
          <w:iCs/>
          <w:sz w:val="28"/>
          <w:szCs w:val="28"/>
        </w:rPr>
        <w:t xml:space="preserve"> a </w:t>
      </w:r>
      <w:proofErr w:type="spellStart"/>
      <w:r w:rsidRPr="00FA23DA">
        <w:rPr>
          <w:rFonts w:ascii="Times New Roman" w:hAnsi="Times New Roman" w:cs="Times New Roman"/>
          <w:i/>
          <w:iCs/>
          <w:sz w:val="28"/>
          <w:szCs w:val="28"/>
        </w:rPr>
        <w:t>result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was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concluded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that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some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cases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criminal</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provisions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may</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be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interpreted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extensive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manner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such</w:t>
      </w:r>
      <w:proofErr w:type="spellEnd"/>
      <w:r w:rsidRPr="00FA23DA">
        <w:rPr>
          <w:rFonts w:ascii="Times New Roman" w:hAnsi="Times New Roman" w:cs="Times New Roman"/>
          <w:i/>
          <w:iCs/>
          <w:sz w:val="28"/>
          <w:szCs w:val="28"/>
        </w:rPr>
        <w:t xml:space="preserve"> a </w:t>
      </w:r>
      <w:proofErr w:type="spellStart"/>
      <w:r w:rsidRPr="00FA23DA">
        <w:rPr>
          <w:rFonts w:ascii="Times New Roman" w:hAnsi="Times New Roman" w:cs="Times New Roman"/>
          <w:i/>
          <w:iCs/>
          <w:sz w:val="28"/>
          <w:szCs w:val="28"/>
        </w:rPr>
        <w:t>process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inevitable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same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time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issue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limits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such</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interpretation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remains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controversial</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needs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to</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be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resolved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to</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ensure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effective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fair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law</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enforcement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Human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rights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equally</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defendant</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victim</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are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unambiguous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guidelines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and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limitations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for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such</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activities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their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violation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would</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deprive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these</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activities</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of</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their</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main</w:t>
      </w:r>
      <w:proofErr w:type="spellEnd"/>
      <w:r w:rsidRPr="00FA23DA">
        <w:rPr>
          <w:rFonts w:ascii="Times New Roman" w:hAnsi="Times New Roman" w:cs="Times New Roman"/>
          <w:i/>
          <w:iCs/>
          <w:sz w:val="28"/>
          <w:szCs w:val="28"/>
        </w:rPr>
        <w:t xml:space="preserve"> </w:t>
      </w:r>
      <w:proofErr w:type="spellStart"/>
      <w:r w:rsidRPr="00FA23DA">
        <w:rPr>
          <w:rFonts w:ascii="Times New Roman" w:hAnsi="Times New Roman" w:cs="Times New Roman"/>
          <w:i/>
          <w:iCs/>
          <w:sz w:val="28"/>
          <w:szCs w:val="28"/>
        </w:rPr>
        <w:t>purpose</w:t>
      </w:r>
      <w:proofErr w:type="spellEnd"/>
      <w:r w:rsidRPr="00FA23DA">
        <w:rPr>
          <w:rFonts w:ascii="Times New Roman" w:hAnsi="Times New Roman" w:cs="Times New Roman"/>
          <w:i/>
          <w:iCs/>
          <w:sz w:val="28"/>
          <w:szCs w:val="28"/>
        </w:rPr>
        <w:t>.</w:t>
      </w:r>
    </w:p>
    <w:p w14:paraId="6597A56D" w14:textId="77777777" w:rsidR="003B53C6" w:rsidRPr="00FA23DA" w:rsidRDefault="003B53C6" w:rsidP="00FA23DA">
      <w:pPr>
        <w:spacing w:after="0" w:line="360" w:lineRule="auto"/>
        <w:ind w:firstLine="709"/>
        <w:jc w:val="both"/>
        <w:rPr>
          <w:rFonts w:ascii="Times New Roman" w:hAnsi="Times New Roman" w:cs="Times New Roman"/>
          <w:b/>
          <w:sz w:val="28"/>
          <w:szCs w:val="28"/>
        </w:rPr>
      </w:pPr>
    </w:p>
    <w:p w14:paraId="05B226F6" w14:textId="77777777" w:rsidR="003B53C6" w:rsidRPr="00FA23DA" w:rsidRDefault="003B53C6" w:rsidP="00FA23DA">
      <w:pPr>
        <w:spacing w:after="0" w:line="360" w:lineRule="auto"/>
        <w:ind w:firstLine="709"/>
        <w:jc w:val="both"/>
        <w:rPr>
          <w:rFonts w:ascii="Times New Roman" w:hAnsi="Times New Roman" w:cs="Times New Roman"/>
          <w:b/>
          <w:sz w:val="28"/>
          <w:szCs w:val="28"/>
        </w:rPr>
      </w:pPr>
      <w:proofErr w:type="spellStart"/>
      <w:r w:rsidRPr="00FA23DA">
        <w:rPr>
          <w:rFonts w:ascii="Times New Roman" w:hAnsi="Times New Roman" w:cs="Times New Roman"/>
          <w:b/>
          <w:sz w:val="28"/>
          <w:szCs w:val="28"/>
        </w:rPr>
        <w:t>Keywords</w:t>
      </w:r>
      <w:proofErr w:type="spellEnd"/>
      <w:r w:rsidRPr="00FA23DA">
        <w:rPr>
          <w:rFonts w:ascii="Times New Roman" w:hAnsi="Times New Roman" w:cs="Times New Roman"/>
          <w:b/>
          <w:sz w:val="28"/>
          <w:szCs w:val="28"/>
        </w:rPr>
        <w:t xml:space="preserve">: </w:t>
      </w:r>
      <w:proofErr w:type="spellStart"/>
      <w:r w:rsidRPr="00FA23DA">
        <w:rPr>
          <w:rFonts w:ascii="Times New Roman" w:hAnsi="Times New Roman" w:cs="Times New Roman"/>
          <w:bCs/>
          <w:i/>
          <w:iCs/>
          <w:sz w:val="28"/>
          <w:szCs w:val="28"/>
        </w:rPr>
        <w:t>extended</w:t>
      </w:r>
      <w:proofErr w:type="spellEnd"/>
      <w:r w:rsidRPr="00FA23DA">
        <w:rPr>
          <w:rFonts w:ascii="Times New Roman" w:hAnsi="Times New Roman" w:cs="Times New Roman"/>
          <w:bCs/>
          <w:i/>
          <w:iCs/>
          <w:sz w:val="28"/>
          <w:szCs w:val="28"/>
        </w:rPr>
        <w:t xml:space="preserve"> </w:t>
      </w:r>
      <w:proofErr w:type="spellStart"/>
      <w:r w:rsidRPr="00FA23DA">
        <w:rPr>
          <w:rFonts w:ascii="Times New Roman" w:hAnsi="Times New Roman" w:cs="Times New Roman"/>
          <w:bCs/>
          <w:i/>
          <w:iCs/>
          <w:sz w:val="28"/>
          <w:szCs w:val="28"/>
        </w:rPr>
        <w:t>interpretation</w:t>
      </w:r>
      <w:proofErr w:type="spellEnd"/>
      <w:r w:rsidRPr="00FA23DA">
        <w:rPr>
          <w:rFonts w:ascii="Times New Roman" w:hAnsi="Times New Roman" w:cs="Times New Roman"/>
          <w:bCs/>
          <w:i/>
          <w:iCs/>
          <w:sz w:val="28"/>
          <w:szCs w:val="28"/>
        </w:rPr>
        <w:t xml:space="preserve">, </w:t>
      </w:r>
      <w:proofErr w:type="spellStart"/>
      <w:r w:rsidRPr="00FA23DA">
        <w:rPr>
          <w:rFonts w:ascii="Times New Roman" w:hAnsi="Times New Roman" w:cs="Times New Roman"/>
          <w:bCs/>
          <w:i/>
          <w:iCs/>
          <w:sz w:val="28"/>
          <w:szCs w:val="28"/>
        </w:rPr>
        <w:t>limits</w:t>
      </w:r>
      <w:proofErr w:type="spellEnd"/>
      <w:r w:rsidRPr="00FA23DA">
        <w:rPr>
          <w:rFonts w:ascii="Times New Roman" w:hAnsi="Times New Roman" w:cs="Times New Roman"/>
          <w:bCs/>
          <w:i/>
          <w:iCs/>
          <w:sz w:val="28"/>
          <w:szCs w:val="28"/>
        </w:rPr>
        <w:t xml:space="preserve"> </w:t>
      </w:r>
      <w:proofErr w:type="spellStart"/>
      <w:r w:rsidRPr="00FA23DA">
        <w:rPr>
          <w:rFonts w:ascii="Times New Roman" w:hAnsi="Times New Roman" w:cs="Times New Roman"/>
          <w:bCs/>
          <w:i/>
          <w:iCs/>
          <w:sz w:val="28"/>
          <w:szCs w:val="28"/>
        </w:rPr>
        <w:t>of</w:t>
      </w:r>
      <w:proofErr w:type="spellEnd"/>
      <w:r w:rsidRPr="00FA23DA">
        <w:rPr>
          <w:rFonts w:ascii="Times New Roman" w:hAnsi="Times New Roman" w:cs="Times New Roman"/>
          <w:bCs/>
          <w:i/>
          <w:iCs/>
          <w:sz w:val="28"/>
          <w:szCs w:val="28"/>
        </w:rPr>
        <w:t xml:space="preserve"> </w:t>
      </w:r>
      <w:proofErr w:type="spellStart"/>
      <w:r w:rsidRPr="00FA23DA">
        <w:rPr>
          <w:rFonts w:ascii="Times New Roman" w:hAnsi="Times New Roman" w:cs="Times New Roman"/>
          <w:bCs/>
          <w:i/>
          <w:iCs/>
          <w:sz w:val="28"/>
          <w:szCs w:val="28"/>
        </w:rPr>
        <w:t>interpretation</w:t>
      </w:r>
      <w:proofErr w:type="spellEnd"/>
      <w:r w:rsidRPr="00FA23DA">
        <w:rPr>
          <w:rFonts w:ascii="Times New Roman" w:hAnsi="Times New Roman" w:cs="Times New Roman"/>
          <w:bCs/>
          <w:i/>
          <w:iCs/>
          <w:sz w:val="28"/>
          <w:szCs w:val="28"/>
        </w:rPr>
        <w:t xml:space="preserve">, </w:t>
      </w:r>
      <w:proofErr w:type="spellStart"/>
      <w:r w:rsidRPr="00FA23DA">
        <w:rPr>
          <w:rFonts w:ascii="Times New Roman" w:hAnsi="Times New Roman" w:cs="Times New Roman"/>
          <w:bCs/>
          <w:i/>
          <w:iCs/>
          <w:sz w:val="28"/>
          <w:szCs w:val="28"/>
        </w:rPr>
        <w:t>interpretation</w:t>
      </w:r>
      <w:proofErr w:type="spellEnd"/>
      <w:r w:rsidRPr="00FA23DA">
        <w:rPr>
          <w:rFonts w:ascii="Times New Roman" w:hAnsi="Times New Roman" w:cs="Times New Roman"/>
          <w:bCs/>
          <w:i/>
          <w:iCs/>
          <w:sz w:val="28"/>
          <w:szCs w:val="28"/>
        </w:rPr>
        <w:t xml:space="preserve"> </w:t>
      </w:r>
      <w:proofErr w:type="spellStart"/>
      <w:r w:rsidRPr="00FA23DA">
        <w:rPr>
          <w:rFonts w:ascii="Times New Roman" w:hAnsi="Times New Roman" w:cs="Times New Roman"/>
          <w:bCs/>
          <w:i/>
          <w:iCs/>
          <w:sz w:val="28"/>
          <w:szCs w:val="28"/>
        </w:rPr>
        <w:t>of</w:t>
      </w:r>
      <w:proofErr w:type="spellEnd"/>
      <w:r w:rsidRPr="00FA23DA">
        <w:rPr>
          <w:rFonts w:ascii="Times New Roman" w:hAnsi="Times New Roman" w:cs="Times New Roman"/>
          <w:bCs/>
          <w:i/>
          <w:iCs/>
          <w:sz w:val="28"/>
          <w:szCs w:val="28"/>
        </w:rPr>
        <w:t xml:space="preserve"> </w:t>
      </w:r>
      <w:proofErr w:type="spellStart"/>
      <w:r w:rsidRPr="00FA23DA">
        <w:rPr>
          <w:rFonts w:ascii="Times New Roman" w:hAnsi="Times New Roman" w:cs="Times New Roman"/>
          <w:bCs/>
          <w:i/>
          <w:iCs/>
          <w:sz w:val="28"/>
          <w:szCs w:val="28"/>
        </w:rPr>
        <w:t>criminal</w:t>
      </w:r>
      <w:proofErr w:type="spellEnd"/>
      <w:r w:rsidRPr="00FA23DA">
        <w:rPr>
          <w:rFonts w:ascii="Times New Roman" w:hAnsi="Times New Roman" w:cs="Times New Roman"/>
          <w:bCs/>
          <w:i/>
          <w:iCs/>
          <w:sz w:val="28"/>
          <w:szCs w:val="28"/>
        </w:rPr>
        <w:t xml:space="preserve"> </w:t>
      </w:r>
      <w:proofErr w:type="spellStart"/>
      <w:r w:rsidRPr="00FA23DA">
        <w:rPr>
          <w:rFonts w:ascii="Times New Roman" w:hAnsi="Times New Roman" w:cs="Times New Roman"/>
          <w:bCs/>
          <w:i/>
          <w:iCs/>
          <w:sz w:val="28"/>
          <w:szCs w:val="28"/>
        </w:rPr>
        <w:t>law</w:t>
      </w:r>
      <w:proofErr w:type="spellEnd"/>
      <w:r w:rsidRPr="00FA23DA">
        <w:rPr>
          <w:rFonts w:ascii="Times New Roman" w:hAnsi="Times New Roman" w:cs="Times New Roman"/>
          <w:bCs/>
          <w:i/>
          <w:iCs/>
          <w:sz w:val="28"/>
          <w:szCs w:val="28"/>
        </w:rPr>
        <w:t xml:space="preserve"> </w:t>
      </w:r>
      <w:proofErr w:type="spellStart"/>
      <w:r w:rsidRPr="00FA23DA">
        <w:rPr>
          <w:rFonts w:ascii="Times New Roman" w:hAnsi="Times New Roman" w:cs="Times New Roman"/>
          <w:bCs/>
          <w:i/>
          <w:iCs/>
          <w:sz w:val="28"/>
          <w:szCs w:val="28"/>
        </w:rPr>
        <w:t>provisions</w:t>
      </w:r>
      <w:proofErr w:type="spellEnd"/>
    </w:p>
    <w:p w14:paraId="44EED91D" w14:textId="77777777" w:rsidR="003B53C6" w:rsidRPr="00FA23DA" w:rsidRDefault="003B53C6" w:rsidP="00FA23DA">
      <w:pPr>
        <w:pStyle w:val="ListParagraph"/>
        <w:spacing w:after="0" w:line="360" w:lineRule="auto"/>
        <w:ind w:hanging="720"/>
        <w:jc w:val="both"/>
        <w:rPr>
          <w:rFonts w:ascii="Times New Roman" w:hAnsi="Times New Roman" w:cs="Times New Roman"/>
          <w:sz w:val="28"/>
          <w:szCs w:val="28"/>
        </w:rPr>
      </w:pPr>
    </w:p>
    <w:p w14:paraId="53B4D00E" w14:textId="77777777" w:rsidR="003B53C6" w:rsidRPr="00FA23DA" w:rsidRDefault="003B53C6" w:rsidP="00FA23DA">
      <w:pPr>
        <w:pStyle w:val="ListParagraph"/>
        <w:spacing w:after="0" w:line="360" w:lineRule="auto"/>
        <w:ind w:hanging="720"/>
        <w:jc w:val="right"/>
        <w:rPr>
          <w:rFonts w:ascii="Times New Roman" w:hAnsi="Times New Roman" w:cs="Times New Roman"/>
          <w:i/>
          <w:iCs/>
          <w:sz w:val="28"/>
          <w:szCs w:val="28"/>
        </w:rPr>
      </w:pPr>
      <w:r w:rsidRPr="00FA23DA">
        <w:rPr>
          <w:rFonts w:ascii="Times New Roman" w:hAnsi="Times New Roman" w:cs="Times New Roman"/>
          <w:i/>
          <w:iCs/>
          <w:sz w:val="28"/>
          <w:szCs w:val="28"/>
        </w:rPr>
        <w:t>Матеріал надійшов 9 квітня 2025.</w:t>
      </w:r>
    </w:p>
    <w:p w14:paraId="77CB7783" w14:textId="77777777" w:rsidR="003B53C6" w:rsidRPr="00FA23DA" w:rsidRDefault="003B53C6" w:rsidP="00FA23DA">
      <w:pPr>
        <w:pStyle w:val="ListParagraph"/>
        <w:spacing w:after="0" w:line="360" w:lineRule="auto"/>
        <w:ind w:hanging="720"/>
        <w:jc w:val="both"/>
        <w:rPr>
          <w:rFonts w:ascii="Times New Roman" w:hAnsi="Times New Roman" w:cs="Times New Roman"/>
          <w:sz w:val="28"/>
          <w:szCs w:val="28"/>
        </w:rPr>
      </w:pPr>
    </w:p>
    <w:sectPr w:rsidR="003B53C6" w:rsidRPr="00FA23DA" w:rsidSect="00DE7C59">
      <w:headerReference w:type="even" r:id="rId41"/>
      <w:headerReference w:type="default" r:id="rId42"/>
      <w:footerReference w:type="even" r:id="rId43"/>
      <w:footerReference w:type="default" r:id="rId44"/>
      <w:headerReference w:type="first" r:id="rId45"/>
      <w:footerReference w:type="first" r:id="rId4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72E1" w14:textId="77777777" w:rsidR="00376385" w:rsidRDefault="00376385" w:rsidP="00FF0BB5">
      <w:pPr>
        <w:spacing w:after="0" w:line="240" w:lineRule="auto"/>
      </w:pPr>
      <w:r>
        <w:separator/>
      </w:r>
    </w:p>
  </w:endnote>
  <w:endnote w:type="continuationSeparator" w:id="0">
    <w:p w14:paraId="7B8858E6" w14:textId="77777777" w:rsidR="00376385" w:rsidRDefault="00376385" w:rsidP="00FF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46E3" w14:textId="77777777" w:rsidR="00960363" w:rsidRDefault="00960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6EBD" w14:textId="77777777" w:rsidR="00960363" w:rsidRDefault="00960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3AA6" w14:textId="77777777" w:rsidR="00960363" w:rsidRDefault="00960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FC61" w14:textId="77777777" w:rsidR="00376385" w:rsidRDefault="00376385" w:rsidP="00FF0BB5">
      <w:pPr>
        <w:spacing w:after="0" w:line="240" w:lineRule="auto"/>
      </w:pPr>
      <w:r>
        <w:separator/>
      </w:r>
    </w:p>
  </w:footnote>
  <w:footnote w:type="continuationSeparator" w:id="0">
    <w:p w14:paraId="1E514DE6" w14:textId="77777777" w:rsidR="00376385" w:rsidRDefault="00376385" w:rsidP="00FF0BB5">
      <w:pPr>
        <w:spacing w:after="0" w:line="240" w:lineRule="auto"/>
      </w:pPr>
      <w:r>
        <w:continuationSeparator/>
      </w:r>
    </w:p>
  </w:footnote>
  <w:footnote w:id="1">
    <w:p w14:paraId="69D4ABBE" w14:textId="3019989F" w:rsidR="00110C81" w:rsidRPr="0093442F" w:rsidRDefault="00110C81" w:rsidP="00110C81">
      <w:pPr>
        <w:pStyle w:val="FootnoteText"/>
        <w:rPr>
          <w:rFonts w:ascii="Times New Roman" w:hAnsi="Times New Roman" w:cs="Times New Roman"/>
          <w:sz w:val="24"/>
          <w:szCs w:val="24"/>
        </w:rPr>
      </w:pPr>
      <w:r w:rsidRPr="0093442F">
        <w:rPr>
          <w:rStyle w:val="FootnoteReference"/>
          <w:rFonts w:ascii="Times New Roman" w:hAnsi="Times New Roman" w:cs="Times New Roman"/>
          <w:sz w:val="24"/>
          <w:szCs w:val="24"/>
        </w:rPr>
        <w:footnoteRef/>
      </w:r>
      <w:r w:rsidRPr="0093442F">
        <w:rPr>
          <w:rFonts w:ascii="Times New Roman" w:hAnsi="Times New Roman" w:cs="Times New Roman"/>
          <w:sz w:val="24"/>
          <w:szCs w:val="24"/>
        </w:rPr>
        <w:t xml:space="preserve"> </w:t>
      </w:r>
      <w:proofErr w:type="spellStart"/>
      <w:r w:rsidR="00DA0EC2" w:rsidRPr="0093442F">
        <w:rPr>
          <w:rFonts w:ascii="Times New Roman" w:hAnsi="Times New Roman" w:cs="Times New Roman"/>
          <w:sz w:val="24"/>
          <w:szCs w:val="24"/>
        </w:rPr>
        <w:t xml:space="preserve">Арістотель, </w:t>
      </w:r>
      <w:r w:rsidR="00DA0EC2" w:rsidRPr="0093442F">
        <w:rPr>
          <w:rStyle w:val="Emphasis"/>
          <w:rFonts w:ascii="Times New Roman" w:hAnsi="Times New Roman" w:cs="Times New Roman"/>
          <w:sz w:val="24"/>
          <w:szCs w:val="24"/>
        </w:rPr>
        <w:t>Політика</w:t>
      </w:r>
      <w:proofErr w:type="spellEnd"/>
      <w:r w:rsidR="00DA0EC2" w:rsidRPr="0093442F">
        <w:rPr>
          <w:rFonts w:ascii="Times New Roman" w:hAnsi="Times New Roman" w:cs="Times New Roman"/>
          <w:sz w:val="24"/>
          <w:szCs w:val="24"/>
        </w:rPr>
        <w:t xml:space="preserve">, пер. з </w:t>
      </w:r>
      <w:proofErr w:type="spellStart"/>
      <w:r w:rsidR="00DA0EC2" w:rsidRPr="0093442F">
        <w:rPr>
          <w:rFonts w:ascii="Times New Roman" w:hAnsi="Times New Roman" w:cs="Times New Roman"/>
          <w:sz w:val="24"/>
          <w:szCs w:val="24"/>
        </w:rPr>
        <w:t>давньогр</w:t>
      </w:r>
      <w:proofErr w:type="spellEnd"/>
      <w:r w:rsidR="00DA0EC2" w:rsidRPr="0093442F">
        <w:rPr>
          <w:rFonts w:ascii="Times New Roman" w:hAnsi="Times New Roman" w:cs="Times New Roman"/>
          <w:sz w:val="24"/>
          <w:szCs w:val="24"/>
        </w:rPr>
        <w:t xml:space="preserve">. О. </w:t>
      </w:r>
      <w:proofErr w:type="spellStart"/>
      <w:r w:rsidR="00DA0EC2" w:rsidRPr="0093442F">
        <w:rPr>
          <w:rFonts w:ascii="Times New Roman" w:hAnsi="Times New Roman" w:cs="Times New Roman"/>
          <w:sz w:val="24"/>
          <w:szCs w:val="24"/>
        </w:rPr>
        <w:t>Кислюк</w:t>
      </w:r>
      <w:proofErr w:type="spellEnd"/>
      <w:r w:rsidR="00DA0EC2" w:rsidRPr="0093442F">
        <w:rPr>
          <w:rFonts w:ascii="Times New Roman" w:hAnsi="Times New Roman" w:cs="Times New Roman"/>
          <w:sz w:val="24"/>
          <w:szCs w:val="24"/>
        </w:rPr>
        <w:t xml:space="preserve"> (Київ, 2000), 59.</w:t>
      </w:r>
    </w:p>
  </w:footnote>
  <w:footnote w:id="2">
    <w:p w14:paraId="1ECD7948" w14:textId="77EF1A45" w:rsidR="00110C81" w:rsidRPr="0093442F" w:rsidRDefault="00110C81" w:rsidP="00110C81">
      <w:pPr>
        <w:pStyle w:val="FootnoteText"/>
        <w:rPr>
          <w:rFonts w:ascii="Times New Roman" w:hAnsi="Times New Roman" w:cs="Times New Roman"/>
          <w:sz w:val="24"/>
          <w:szCs w:val="24"/>
        </w:rPr>
      </w:pPr>
      <w:r w:rsidRPr="0093442F">
        <w:rPr>
          <w:rStyle w:val="FootnoteReference"/>
          <w:rFonts w:ascii="Times New Roman" w:hAnsi="Times New Roman" w:cs="Times New Roman"/>
          <w:sz w:val="24"/>
          <w:szCs w:val="24"/>
        </w:rPr>
        <w:footnoteRef/>
      </w:r>
      <w:r w:rsidRPr="0093442F">
        <w:rPr>
          <w:rFonts w:ascii="Times New Roman" w:hAnsi="Times New Roman" w:cs="Times New Roman"/>
          <w:sz w:val="24"/>
          <w:szCs w:val="24"/>
        </w:rPr>
        <w:t xml:space="preserve"> </w:t>
      </w:r>
      <w:proofErr w:type="spellStart"/>
      <w:r w:rsidR="000C0B25" w:rsidRPr="0093442F">
        <w:rPr>
          <w:rFonts w:ascii="Times New Roman" w:hAnsi="Times New Roman" w:cs="Times New Roman"/>
          <w:sz w:val="24"/>
          <w:szCs w:val="24"/>
        </w:rPr>
        <w:t>David</w:t>
      </w:r>
      <w:proofErr w:type="spellEnd"/>
      <w:r w:rsidR="000C0B25" w:rsidRPr="0093442F">
        <w:rPr>
          <w:rFonts w:ascii="Times New Roman" w:hAnsi="Times New Roman" w:cs="Times New Roman"/>
          <w:sz w:val="24"/>
          <w:szCs w:val="24"/>
        </w:rPr>
        <w:t xml:space="preserve"> </w:t>
      </w:r>
      <w:proofErr w:type="spellStart"/>
      <w:r w:rsidR="000C0B25" w:rsidRPr="0093442F">
        <w:rPr>
          <w:rFonts w:ascii="Times New Roman" w:hAnsi="Times New Roman" w:cs="Times New Roman"/>
          <w:sz w:val="24"/>
          <w:szCs w:val="24"/>
        </w:rPr>
        <w:t>Johnston</w:t>
      </w:r>
      <w:proofErr w:type="spellEnd"/>
      <w:r w:rsidR="000C0B25" w:rsidRPr="0093442F">
        <w:rPr>
          <w:rFonts w:ascii="Times New Roman" w:hAnsi="Times New Roman" w:cs="Times New Roman"/>
          <w:sz w:val="24"/>
          <w:szCs w:val="24"/>
        </w:rPr>
        <w:t xml:space="preserve">, </w:t>
      </w:r>
      <w:proofErr w:type="spellStart"/>
      <w:r w:rsidR="000C0B25" w:rsidRPr="0093442F">
        <w:rPr>
          <w:rStyle w:val="Emphasis"/>
          <w:rFonts w:ascii="Times New Roman" w:hAnsi="Times New Roman" w:cs="Times New Roman"/>
          <w:sz w:val="24"/>
          <w:szCs w:val="24"/>
        </w:rPr>
        <w:t>Cambridge</w:t>
      </w:r>
      <w:proofErr w:type="spellEnd"/>
      <w:r w:rsidR="000C0B25" w:rsidRPr="0093442F">
        <w:rPr>
          <w:rStyle w:val="Emphasis"/>
          <w:rFonts w:ascii="Times New Roman" w:hAnsi="Times New Roman" w:cs="Times New Roman"/>
          <w:sz w:val="24"/>
          <w:szCs w:val="24"/>
        </w:rPr>
        <w:t xml:space="preserve"> </w:t>
      </w:r>
      <w:proofErr w:type="spellStart"/>
      <w:r w:rsidR="000C0B25" w:rsidRPr="0093442F">
        <w:rPr>
          <w:rStyle w:val="Emphasis"/>
          <w:rFonts w:ascii="Times New Roman" w:hAnsi="Times New Roman" w:cs="Times New Roman"/>
          <w:sz w:val="24"/>
          <w:szCs w:val="24"/>
        </w:rPr>
        <w:t>Companion</w:t>
      </w:r>
      <w:proofErr w:type="spellEnd"/>
      <w:r w:rsidR="000C0B25" w:rsidRPr="0093442F">
        <w:rPr>
          <w:rStyle w:val="Emphasis"/>
          <w:rFonts w:ascii="Times New Roman" w:hAnsi="Times New Roman" w:cs="Times New Roman"/>
          <w:sz w:val="24"/>
          <w:szCs w:val="24"/>
        </w:rPr>
        <w:t xml:space="preserve"> </w:t>
      </w:r>
      <w:proofErr w:type="spellStart"/>
      <w:r w:rsidR="000C0B25" w:rsidRPr="0093442F">
        <w:rPr>
          <w:rStyle w:val="Emphasis"/>
          <w:rFonts w:ascii="Times New Roman" w:hAnsi="Times New Roman" w:cs="Times New Roman"/>
          <w:sz w:val="24"/>
          <w:szCs w:val="24"/>
        </w:rPr>
        <w:t>to</w:t>
      </w:r>
      <w:proofErr w:type="spellEnd"/>
      <w:r w:rsidR="000C0B25" w:rsidRPr="0093442F">
        <w:rPr>
          <w:rStyle w:val="Emphasis"/>
          <w:rFonts w:ascii="Times New Roman" w:hAnsi="Times New Roman" w:cs="Times New Roman"/>
          <w:sz w:val="24"/>
          <w:szCs w:val="24"/>
        </w:rPr>
        <w:t xml:space="preserve"> </w:t>
      </w:r>
      <w:proofErr w:type="spellStart"/>
      <w:r w:rsidR="000C0B25" w:rsidRPr="0093442F">
        <w:rPr>
          <w:rStyle w:val="Emphasis"/>
          <w:rFonts w:ascii="Times New Roman" w:hAnsi="Times New Roman" w:cs="Times New Roman"/>
          <w:sz w:val="24"/>
          <w:szCs w:val="24"/>
        </w:rPr>
        <w:t>Roman</w:t>
      </w:r>
      <w:proofErr w:type="spellEnd"/>
      <w:r w:rsidR="000C0B25" w:rsidRPr="0093442F">
        <w:rPr>
          <w:rStyle w:val="Emphasis"/>
          <w:rFonts w:ascii="Times New Roman" w:hAnsi="Times New Roman" w:cs="Times New Roman"/>
          <w:sz w:val="24"/>
          <w:szCs w:val="24"/>
        </w:rPr>
        <w:t xml:space="preserve"> </w:t>
      </w:r>
      <w:proofErr w:type="spellStart"/>
      <w:r w:rsidR="000C0B25" w:rsidRPr="0093442F">
        <w:rPr>
          <w:rStyle w:val="Emphasis"/>
          <w:rFonts w:ascii="Times New Roman" w:hAnsi="Times New Roman" w:cs="Times New Roman"/>
          <w:sz w:val="24"/>
          <w:szCs w:val="24"/>
        </w:rPr>
        <w:t>Law</w:t>
      </w:r>
      <w:proofErr w:type="spellEnd"/>
      <w:r w:rsidR="000C0B25" w:rsidRPr="0093442F">
        <w:rPr>
          <w:rFonts w:ascii="Times New Roman" w:hAnsi="Times New Roman" w:cs="Times New Roman"/>
          <w:sz w:val="24"/>
          <w:szCs w:val="24"/>
        </w:rPr>
        <w:t xml:space="preserve"> (</w:t>
      </w:r>
      <w:proofErr w:type="spellStart"/>
      <w:r w:rsidR="000C0B25" w:rsidRPr="0093442F">
        <w:rPr>
          <w:rFonts w:ascii="Times New Roman" w:hAnsi="Times New Roman" w:cs="Times New Roman"/>
          <w:sz w:val="24"/>
          <w:szCs w:val="24"/>
        </w:rPr>
        <w:t>Cambridge</w:t>
      </w:r>
      <w:proofErr w:type="spellEnd"/>
      <w:r w:rsidR="000C0B25" w:rsidRPr="0093442F">
        <w:rPr>
          <w:rFonts w:ascii="Times New Roman" w:hAnsi="Times New Roman" w:cs="Times New Roman"/>
          <w:sz w:val="24"/>
          <w:szCs w:val="24"/>
        </w:rPr>
        <w:t xml:space="preserve">: </w:t>
      </w:r>
      <w:proofErr w:type="spellStart"/>
      <w:r w:rsidR="000C0B25" w:rsidRPr="0093442F">
        <w:rPr>
          <w:rFonts w:ascii="Times New Roman" w:hAnsi="Times New Roman" w:cs="Times New Roman"/>
          <w:sz w:val="24"/>
          <w:szCs w:val="24"/>
        </w:rPr>
        <w:t>University</w:t>
      </w:r>
      <w:proofErr w:type="spellEnd"/>
      <w:r w:rsidR="000C0B25" w:rsidRPr="0093442F">
        <w:rPr>
          <w:rFonts w:ascii="Times New Roman" w:hAnsi="Times New Roman" w:cs="Times New Roman"/>
          <w:sz w:val="24"/>
          <w:szCs w:val="24"/>
        </w:rPr>
        <w:t xml:space="preserve"> </w:t>
      </w:r>
      <w:proofErr w:type="spellStart"/>
      <w:r w:rsidR="000C0B25" w:rsidRPr="0093442F">
        <w:rPr>
          <w:rFonts w:ascii="Times New Roman" w:hAnsi="Times New Roman" w:cs="Times New Roman"/>
          <w:sz w:val="24"/>
          <w:szCs w:val="24"/>
        </w:rPr>
        <w:t>of</w:t>
      </w:r>
      <w:proofErr w:type="spellEnd"/>
      <w:r w:rsidR="000C0B25" w:rsidRPr="0093442F">
        <w:rPr>
          <w:rFonts w:ascii="Times New Roman" w:hAnsi="Times New Roman" w:cs="Times New Roman"/>
          <w:sz w:val="24"/>
          <w:szCs w:val="24"/>
        </w:rPr>
        <w:t xml:space="preserve"> </w:t>
      </w:r>
      <w:proofErr w:type="spellStart"/>
      <w:r w:rsidR="000C0B25" w:rsidRPr="0093442F">
        <w:rPr>
          <w:rFonts w:ascii="Times New Roman" w:hAnsi="Times New Roman" w:cs="Times New Roman"/>
          <w:sz w:val="24"/>
          <w:szCs w:val="24"/>
        </w:rPr>
        <w:t>Cambridge</w:t>
      </w:r>
      <w:proofErr w:type="spellEnd"/>
      <w:r w:rsidR="000C0B25" w:rsidRPr="0093442F">
        <w:rPr>
          <w:rFonts w:ascii="Times New Roman" w:hAnsi="Times New Roman" w:cs="Times New Roman"/>
          <w:sz w:val="24"/>
          <w:szCs w:val="24"/>
        </w:rPr>
        <w:t xml:space="preserve"> ESOL </w:t>
      </w:r>
      <w:proofErr w:type="spellStart"/>
      <w:r w:rsidR="000C0B25" w:rsidRPr="0093442F">
        <w:rPr>
          <w:rFonts w:ascii="Times New Roman" w:hAnsi="Times New Roman" w:cs="Times New Roman"/>
          <w:sz w:val="24"/>
          <w:szCs w:val="24"/>
        </w:rPr>
        <w:t>Examinations</w:t>
      </w:r>
      <w:proofErr w:type="spellEnd"/>
      <w:r w:rsidR="000C0B25" w:rsidRPr="0093442F">
        <w:rPr>
          <w:rFonts w:ascii="Times New Roman" w:hAnsi="Times New Roman" w:cs="Times New Roman"/>
          <w:sz w:val="24"/>
          <w:szCs w:val="24"/>
        </w:rPr>
        <w:t>, 2015), 389.</w:t>
      </w:r>
    </w:p>
  </w:footnote>
  <w:footnote w:id="3">
    <w:p w14:paraId="4BB29027" w14:textId="708FA44E" w:rsidR="00960363" w:rsidRPr="0093442F" w:rsidRDefault="00960363" w:rsidP="004B38A9">
      <w:pPr>
        <w:pStyle w:val="FootnoteText"/>
        <w:jc w:val="both"/>
        <w:rPr>
          <w:rFonts w:ascii="Times New Roman" w:hAnsi="Times New Roman" w:cs="Times New Roman"/>
          <w:sz w:val="24"/>
          <w:szCs w:val="24"/>
        </w:rPr>
      </w:pPr>
      <w:r w:rsidRPr="0093442F">
        <w:rPr>
          <w:rStyle w:val="FootnoteReference"/>
          <w:rFonts w:ascii="Times New Roman" w:hAnsi="Times New Roman" w:cs="Times New Roman"/>
          <w:sz w:val="24"/>
          <w:szCs w:val="24"/>
        </w:rPr>
        <w:footnoteRef/>
      </w:r>
      <w:r w:rsidRPr="0093442F">
        <w:rPr>
          <w:rFonts w:ascii="Times New Roman" w:hAnsi="Times New Roman" w:cs="Times New Roman"/>
          <w:sz w:val="24"/>
          <w:szCs w:val="24"/>
        </w:rPr>
        <w:t xml:space="preserve"> </w:t>
      </w:r>
      <w:r w:rsidR="000C0B25" w:rsidRPr="0093442F">
        <w:rPr>
          <w:rFonts w:ascii="Times New Roman" w:hAnsi="Times New Roman" w:cs="Times New Roman"/>
          <w:sz w:val="24"/>
          <w:szCs w:val="24"/>
        </w:rPr>
        <w:t xml:space="preserve">Євген Звєрєв, "Тлумачення міжнародних договорів національними судами: європейський досвід та українська практика," 2015, </w:t>
      </w:r>
      <w:hyperlink r:id="rId1" w:tgtFrame="_new" w:history="1">
        <w:r w:rsidR="000C0B25" w:rsidRPr="0093442F">
          <w:rPr>
            <w:rStyle w:val="Hyperlink"/>
            <w:rFonts w:ascii="Times New Roman" w:hAnsi="Times New Roman" w:cs="Times New Roman"/>
            <w:sz w:val="24"/>
            <w:szCs w:val="24"/>
          </w:rPr>
          <w:t>http://ekmair.ukma.edu.ua/handle/123456789/5929</w:t>
        </w:r>
      </w:hyperlink>
      <w:r w:rsidR="000C0B25" w:rsidRPr="0093442F">
        <w:rPr>
          <w:rFonts w:ascii="Times New Roman" w:hAnsi="Times New Roman" w:cs="Times New Roman"/>
          <w:sz w:val="24"/>
          <w:szCs w:val="24"/>
        </w:rPr>
        <w:t xml:space="preserve"> (дата звернення: 9 квітня 2025 р.).</w:t>
      </w:r>
    </w:p>
  </w:footnote>
  <w:footnote w:id="4">
    <w:p w14:paraId="1C510F92" w14:textId="64750567" w:rsidR="00960363" w:rsidRPr="004B38A9" w:rsidRDefault="00960363" w:rsidP="004B38A9">
      <w:pPr>
        <w:pStyle w:val="FootnoteText"/>
        <w:jc w:val="both"/>
        <w:rPr>
          <w:rFonts w:ascii="Times New Roman" w:hAnsi="Times New Roman" w:cs="Times New Roman"/>
          <w:sz w:val="24"/>
          <w:szCs w:val="24"/>
        </w:rPr>
      </w:pPr>
      <w:r w:rsidRPr="0093442F">
        <w:rPr>
          <w:rStyle w:val="FootnoteReference"/>
          <w:rFonts w:ascii="Times New Roman" w:hAnsi="Times New Roman" w:cs="Times New Roman"/>
          <w:sz w:val="24"/>
          <w:szCs w:val="24"/>
        </w:rPr>
        <w:footnoteRef/>
      </w:r>
      <w:r w:rsidRPr="0093442F">
        <w:rPr>
          <w:rFonts w:ascii="Times New Roman" w:hAnsi="Times New Roman" w:cs="Times New Roman"/>
          <w:sz w:val="24"/>
          <w:szCs w:val="24"/>
        </w:rPr>
        <w:t xml:space="preserve"> </w:t>
      </w:r>
      <w:r w:rsidR="000C0B25" w:rsidRPr="0093442F">
        <w:rPr>
          <w:rFonts w:ascii="Times New Roman" w:hAnsi="Times New Roman" w:cs="Times New Roman"/>
          <w:sz w:val="24"/>
          <w:szCs w:val="24"/>
        </w:rPr>
        <w:t>В</w:t>
      </w:r>
      <w:r w:rsidR="000C0B25" w:rsidRPr="0093442F">
        <w:rPr>
          <w:rFonts w:ascii="Times New Roman" w:hAnsi="Times New Roman" w:cs="Times New Roman"/>
          <w:sz w:val="24"/>
          <w:szCs w:val="24"/>
        </w:rPr>
        <w:t>.</w:t>
      </w:r>
      <w:r w:rsidR="000C0B25" w:rsidRPr="0093442F">
        <w:rPr>
          <w:rFonts w:ascii="Times New Roman" w:hAnsi="Times New Roman" w:cs="Times New Roman"/>
          <w:sz w:val="24"/>
          <w:szCs w:val="24"/>
        </w:rPr>
        <w:t xml:space="preserve"> С. </w:t>
      </w:r>
      <w:proofErr w:type="spellStart"/>
      <w:r w:rsidR="000C0B25" w:rsidRPr="0093442F">
        <w:rPr>
          <w:rFonts w:ascii="Times New Roman" w:hAnsi="Times New Roman" w:cs="Times New Roman"/>
          <w:sz w:val="24"/>
          <w:szCs w:val="24"/>
        </w:rPr>
        <w:t>Малента</w:t>
      </w:r>
      <w:proofErr w:type="spellEnd"/>
      <w:r w:rsidR="000C0B25" w:rsidRPr="0093442F">
        <w:rPr>
          <w:rFonts w:ascii="Times New Roman" w:hAnsi="Times New Roman" w:cs="Times New Roman"/>
          <w:sz w:val="24"/>
          <w:szCs w:val="24"/>
        </w:rPr>
        <w:t xml:space="preserve">, "Історичні аспекти становлення тлумачення норм права," </w:t>
      </w:r>
      <w:r w:rsidR="000C0B25" w:rsidRPr="0093442F">
        <w:rPr>
          <w:rStyle w:val="Emphasis"/>
          <w:rFonts w:ascii="Times New Roman" w:hAnsi="Times New Roman" w:cs="Times New Roman"/>
          <w:sz w:val="24"/>
          <w:szCs w:val="24"/>
        </w:rPr>
        <w:t>Вісник Академії адвокатури України</w:t>
      </w:r>
      <w:r w:rsidR="000C0B25" w:rsidRPr="0093442F">
        <w:rPr>
          <w:rFonts w:ascii="Times New Roman" w:hAnsi="Times New Roman" w:cs="Times New Roman"/>
          <w:sz w:val="24"/>
          <w:szCs w:val="24"/>
        </w:rPr>
        <w:t xml:space="preserve">, № 1 (2010): 20. </w:t>
      </w:r>
      <w:hyperlink r:id="rId2" w:tgtFrame="_new" w:history="1">
        <w:r w:rsidR="000C0B25" w:rsidRPr="0093442F">
          <w:rPr>
            <w:rStyle w:val="Hyperlink"/>
            <w:rFonts w:ascii="Times New Roman" w:hAnsi="Times New Roman" w:cs="Times New Roman"/>
            <w:sz w:val="24"/>
            <w:szCs w:val="24"/>
          </w:rPr>
          <w:t>http://nb</w:t>
        </w:r>
        <w:r w:rsidR="000C0B25" w:rsidRPr="0093442F">
          <w:rPr>
            <w:rStyle w:val="Hyperlink"/>
            <w:rFonts w:ascii="Times New Roman" w:hAnsi="Times New Roman" w:cs="Times New Roman"/>
            <w:sz w:val="24"/>
            <w:szCs w:val="24"/>
          </w:rPr>
          <w:t>u</w:t>
        </w:r>
        <w:r w:rsidR="000C0B25" w:rsidRPr="0093442F">
          <w:rPr>
            <w:rStyle w:val="Hyperlink"/>
            <w:rFonts w:ascii="Times New Roman" w:hAnsi="Times New Roman" w:cs="Times New Roman"/>
            <w:sz w:val="24"/>
            <w:szCs w:val="24"/>
          </w:rPr>
          <w:t>v.gov.ua/UJRN/vaau_2010_1_5</w:t>
        </w:r>
      </w:hyperlink>
      <w:r w:rsidR="000C0B25" w:rsidRPr="0093442F">
        <w:rPr>
          <w:rFonts w:ascii="Times New Roman" w:hAnsi="Times New Roman" w:cs="Times New Roman"/>
          <w:sz w:val="24"/>
          <w:szCs w:val="24"/>
        </w:rPr>
        <w:t xml:space="preserve"> (дата звернення: 9 квітня 2025 р.).</w:t>
      </w:r>
      <w:r w:rsidR="000C0B25">
        <w:t xml:space="preserve">  </w:t>
      </w:r>
    </w:p>
  </w:footnote>
  <w:footnote w:id="5">
    <w:p w14:paraId="6CCF20FD" w14:textId="77777777" w:rsidR="00960363" w:rsidRPr="0093442F" w:rsidRDefault="00960363" w:rsidP="004B38A9">
      <w:pPr>
        <w:pStyle w:val="FootnoteText"/>
        <w:jc w:val="both"/>
        <w:rPr>
          <w:rFonts w:ascii="Times New Roman" w:hAnsi="Times New Roman" w:cs="Times New Roman"/>
          <w:sz w:val="24"/>
          <w:szCs w:val="24"/>
        </w:rPr>
      </w:pPr>
      <w:r w:rsidRPr="0093442F">
        <w:rPr>
          <w:rStyle w:val="FootnoteReference"/>
          <w:rFonts w:ascii="Times New Roman" w:hAnsi="Times New Roman" w:cs="Times New Roman"/>
          <w:sz w:val="24"/>
          <w:szCs w:val="24"/>
        </w:rPr>
        <w:footnoteRef/>
      </w:r>
      <w:r w:rsidRPr="0093442F">
        <w:rPr>
          <w:rFonts w:ascii="Times New Roman" w:hAnsi="Times New Roman" w:cs="Times New Roman"/>
          <w:sz w:val="24"/>
          <w:szCs w:val="24"/>
        </w:rPr>
        <w:t xml:space="preserve"> Там само.</w:t>
      </w:r>
    </w:p>
  </w:footnote>
  <w:footnote w:id="6">
    <w:p w14:paraId="613178A7" w14:textId="77777777" w:rsidR="00110C81" w:rsidRPr="0093442F" w:rsidRDefault="00110C81" w:rsidP="00110C81">
      <w:pPr>
        <w:pStyle w:val="FootnoteText"/>
        <w:rPr>
          <w:rFonts w:ascii="Times New Roman" w:hAnsi="Times New Roman" w:cs="Times New Roman"/>
          <w:sz w:val="24"/>
          <w:szCs w:val="24"/>
        </w:rPr>
      </w:pPr>
      <w:r w:rsidRPr="0093442F">
        <w:rPr>
          <w:rStyle w:val="FootnoteReference"/>
          <w:rFonts w:ascii="Times New Roman" w:hAnsi="Times New Roman" w:cs="Times New Roman"/>
          <w:sz w:val="24"/>
          <w:szCs w:val="24"/>
        </w:rPr>
        <w:footnoteRef/>
      </w:r>
      <w:r w:rsidRPr="0093442F">
        <w:rPr>
          <w:rFonts w:ascii="Times New Roman" w:hAnsi="Times New Roman" w:cs="Times New Roman"/>
          <w:sz w:val="24"/>
          <w:szCs w:val="24"/>
        </w:rPr>
        <w:t xml:space="preserve"> Там само.</w:t>
      </w:r>
    </w:p>
  </w:footnote>
  <w:footnote w:id="7">
    <w:p w14:paraId="41EE8A7D" w14:textId="041B970D" w:rsidR="00960363" w:rsidRPr="0093442F" w:rsidRDefault="00960363" w:rsidP="004B38A9">
      <w:pPr>
        <w:pStyle w:val="FootnoteText"/>
        <w:jc w:val="both"/>
        <w:rPr>
          <w:rFonts w:ascii="Times New Roman" w:hAnsi="Times New Roman" w:cs="Times New Roman"/>
          <w:sz w:val="24"/>
          <w:szCs w:val="24"/>
        </w:rPr>
      </w:pPr>
      <w:r w:rsidRPr="0093442F">
        <w:rPr>
          <w:rStyle w:val="FootnoteReference"/>
          <w:rFonts w:ascii="Times New Roman" w:hAnsi="Times New Roman" w:cs="Times New Roman"/>
          <w:sz w:val="24"/>
          <w:szCs w:val="24"/>
        </w:rPr>
        <w:footnoteRef/>
      </w:r>
      <w:r w:rsidRPr="0093442F">
        <w:rPr>
          <w:rFonts w:ascii="Times New Roman" w:hAnsi="Times New Roman" w:cs="Times New Roman"/>
          <w:sz w:val="24"/>
          <w:szCs w:val="24"/>
        </w:rPr>
        <w:t xml:space="preserve"> </w:t>
      </w:r>
      <w:r w:rsidR="000C0B25" w:rsidRPr="0093442F">
        <w:rPr>
          <w:rFonts w:ascii="Times New Roman" w:hAnsi="Times New Roman" w:cs="Times New Roman"/>
          <w:sz w:val="24"/>
          <w:szCs w:val="24"/>
        </w:rPr>
        <w:t>Н</w:t>
      </w:r>
      <w:r w:rsidR="000C0B25" w:rsidRPr="0093442F">
        <w:rPr>
          <w:rFonts w:ascii="Times New Roman" w:hAnsi="Times New Roman" w:cs="Times New Roman"/>
          <w:sz w:val="24"/>
          <w:szCs w:val="24"/>
        </w:rPr>
        <w:t>.</w:t>
      </w:r>
      <w:r w:rsidR="000C0B25" w:rsidRPr="0093442F">
        <w:rPr>
          <w:rFonts w:ascii="Times New Roman" w:hAnsi="Times New Roman" w:cs="Times New Roman"/>
          <w:sz w:val="24"/>
          <w:szCs w:val="24"/>
        </w:rPr>
        <w:t xml:space="preserve"> В. Іванчук, "Історико-правові засади становлення та розвитку тлумачення норм права в юридичній науці," </w:t>
      </w:r>
      <w:r w:rsidR="000C0B25" w:rsidRPr="0093442F">
        <w:rPr>
          <w:rFonts w:ascii="Times New Roman" w:hAnsi="Times New Roman" w:cs="Times New Roman"/>
          <w:i/>
          <w:iCs/>
          <w:sz w:val="24"/>
          <w:szCs w:val="24"/>
        </w:rPr>
        <w:t>Південноукраїнський правничий часопис</w:t>
      </w:r>
      <w:r w:rsidR="000C0B25" w:rsidRPr="0093442F">
        <w:rPr>
          <w:rFonts w:ascii="Times New Roman" w:hAnsi="Times New Roman" w:cs="Times New Roman"/>
          <w:sz w:val="24"/>
          <w:szCs w:val="24"/>
        </w:rPr>
        <w:t xml:space="preserve">, № 1 (2013): 133. </w:t>
      </w:r>
      <w:hyperlink r:id="rId3" w:tgtFrame="_new" w:history="1">
        <w:r w:rsidR="000C0B25" w:rsidRPr="0093442F">
          <w:rPr>
            <w:rFonts w:ascii="Times New Roman" w:hAnsi="Times New Roman" w:cs="Times New Roman"/>
            <w:color w:val="0000FF"/>
            <w:sz w:val="24"/>
            <w:szCs w:val="24"/>
            <w:u w:val="single"/>
          </w:rPr>
          <w:t>http://nbuv.gov.ua/UJRN/Pupch_2013_1_44</w:t>
        </w:r>
      </w:hyperlink>
      <w:r w:rsidR="000C0B25" w:rsidRPr="0093442F">
        <w:rPr>
          <w:rFonts w:ascii="Times New Roman" w:hAnsi="Times New Roman" w:cs="Times New Roman"/>
          <w:sz w:val="24"/>
          <w:szCs w:val="24"/>
        </w:rPr>
        <w:t xml:space="preserve"> (дата звернення: 9 квітня 2025 р.).  </w:t>
      </w:r>
    </w:p>
  </w:footnote>
  <w:footnote w:id="8">
    <w:p w14:paraId="7743C5DB" w14:textId="77777777" w:rsidR="00110C81" w:rsidRPr="00843D22" w:rsidRDefault="00110C81" w:rsidP="00110C81">
      <w:pPr>
        <w:pStyle w:val="FootnoteText"/>
        <w:rPr>
          <w:rFonts w:ascii="Times New Roman" w:hAnsi="Times New Roman" w:cs="Times New Roman"/>
          <w:sz w:val="24"/>
          <w:szCs w:val="24"/>
        </w:rPr>
      </w:pPr>
      <w:r w:rsidRPr="0093442F">
        <w:rPr>
          <w:rStyle w:val="FootnoteReference"/>
          <w:rFonts w:ascii="Times New Roman" w:hAnsi="Times New Roman" w:cs="Times New Roman"/>
          <w:sz w:val="24"/>
          <w:szCs w:val="24"/>
        </w:rPr>
        <w:footnoteRef/>
      </w:r>
      <w:r w:rsidRPr="0093442F">
        <w:rPr>
          <w:rFonts w:ascii="Times New Roman" w:hAnsi="Times New Roman" w:cs="Times New Roman"/>
          <w:sz w:val="24"/>
          <w:szCs w:val="24"/>
        </w:rPr>
        <w:t xml:space="preserve"> </w:t>
      </w:r>
      <w:r w:rsidR="00843D22" w:rsidRPr="0093442F">
        <w:rPr>
          <w:rFonts w:ascii="Times New Roman" w:hAnsi="Times New Roman" w:cs="Times New Roman"/>
          <w:sz w:val="24"/>
          <w:szCs w:val="24"/>
        </w:rPr>
        <w:t>Там само.</w:t>
      </w:r>
    </w:p>
  </w:footnote>
  <w:footnote w:id="9">
    <w:p w14:paraId="7E0A6AB3" w14:textId="1BF9C5B4" w:rsidR="00960363" w:rsidRPr="0093442F" w:rsidRDefault="00960363" w:rsidP="00843D22">
      <w:pPr>
        <w:pStyle w:val="FootnoteText"/>
        <w:jc w:val="both"/>
        <w:rPr>
          <w:rFonts w:ascii="Times New Roman" w:hAnsi="Times New Roman" w:cs="Times New Roman"/>
          <w:sz w:val="24"/>
          <w:szCs w:val="24"/>
        </w:rPr>
      </w:pPr>
      <w:r w:rsidRPr="0093442F">
        <w:rPr>
          <w:rStyle w:val="FootnoteReference"/>
          <w:rFonts w:ascii="Times New Roman" w:hAnsi="Times New Roman" w:cs="Times New Roman"/>
          <w:sz w:val="24"/>
          <w:szCs w:val="24"/>
        </w:rPr>
        <w:footnoteRef/>
      </w:r>
      <w:r w:rsidRPr="0093442F">
        <w:rPr>
          <w:rFonts w:ascii="Times New Roman" w:hAnsi="Times New Roman" w:cs="Times New Roman"/>
          <w:sz w:val="24"/>
          <w:szCs w:val="24"/>
        </w:rPr>
        <w:t xml:space="preserve"> </w:t>
      </w:r>
      <w:r w:rsidR="000C0B25" w:rsidRPr="0093442F">
        <w:rPr>
          <w:rFonts w:ascii="Times New Roman" w:hAnsi="Times New Roman" w:cs="Times New Roman"/>
          <w:sz w:val="24"/>
          <w:szCs w:val="24"/>
        </w:rPr>
        <w:t xml:space="preserve">Н. В. Іванчук, "Історико-правові засади становлення та розвитку тлумачення норм права в юридичній науці," </w:t>
      </w:r>
      <w:r w:rsidR="000C0B25" w:rsidRPr="0093442F">
        <w:rPr>
          <w:rFonts w:ascii="Times New Roman" w:hAnsi="Times New Roman" w:cs="Times New Roman"/>
          <w:i/>
          <w:iCs/>
          <w:sz w:val="24"/>
          <w:szCs w:val="24"/>
        </w:rPr>
        <w:t>Південноукраїнський правничий часопис</w:t>
      </w:r>
      <w:r w:rsidR="000C0B25" w:rsidRPr="0093442F">
        <w:rPr>
          <w:rFonts w:ascii="Times New Roman" w:hAnsi="Times New Roman" w:cs="Times New Roman"/>
          <w:sz w:val="24"/>
          <w:szCs w:val="24"/>
        </w:rPr>
        <w:t xml:space="preserve">, № 1 (2013): 133. </w:t>
      </w:r>
      <w:hyperlink r:id="rId4" w:tgtFrame="_new" w:history="1">
        <w:r w:rsidR="000C0B25" w:rsidRPr="0093442F">
          <w:rPr>
            <w:rFonts w:ascii="Times New Roman" w:hAnsi="Times New Roman" w:cs="Times New Roman"/>
            <w:color w:val="0000FF"/>
            <w:sz w:val="24"/>
            <w:szCs w:val="24"/>
            <w:u w:val="single"/>
          </w:rPr>
          <w:t>http://nbuv.gov.ua/UJRN/Pupch_2013_1_44</w:t>
        </w:r>
      </w:hyperlink>
      <w:r w:rsidR="000C0B25" w:rsidRPr="0093442F">
        <w:rPr>
          <w:rFonts w:ascii="Times New Roman" w:hAnsi="Times New Roman" w:cs="Times New Roman"/>
          <w:sz w:val="24"/>
          <w:szCs w:val="24"/>
        </w:rPr>
        <w:t xml:space="preserve"> (дата звернення: 9 квітня 2025 р.).  </w:t>
      </w:r>
    </w:p>
  </w:footnote>
  <w:footnote w:id="10">
    <w:p w14:paraId="70AC56E0" w14:textId="77777777" w:rsidR="00843D22" w:rsidRPr="0093442F" w:rsidRDefault="00843D22">
      <w:pPr>
        <w:pStyle w:val="FootnoteText"/>
        <w:rPr>
          <w:rFonts w:ascii="Times New Roman" w:hAnsi="Times New Roman" w:cs="Times New Roman"/>
          <w:sz w:val="24"/>
          <w:szCs w:val="24"/>
        </w:rPr>
      </w:pPr>
      <w:r w:rsidRPr="0093442F">
        <w:rPr>
          <w:rStyle w:val="FootnoteReference"/>
          <w:rFonts w:ascii="Times New Roman" w:hAnsi="Times New Roman" w:cs="Times New Roman"/>
          <w:sz w:val="24"/>
          <w:szCs w:val="24"/>
        </w:rPr>
        <w:footnoteRef/>
      </w:r>
      <w:r w:rsidRPr="0093442F">
        <w:rPr>
          <w:rFonts w:ascii="Times New Roman" w:hAnsi="Times New Roman" w:cs="Times New Roman"/>
          <w:sz w:val="24"/>
          <w:szCs w:val="24"/>
        </w:rPr>
        <w:t xml:space="preserve"> Там само.</w:t>
      </w:r>
    </w:p>
  </w:footnote>
  <w:footnote w:id="11">
    <w:p w14:paraId="1E8DC756" w14:textId="7CE1E0CE" w:rsidR="00843D22" w:rsidRPr="00C501BA" w:rsidRDefault="00843D22" w:rsidP="00843D22">
      <w:pPr>
        <w:pStyle w:val="FootnoteText"/>
        <w:jc w:val="both"/>
        <w:rPr>
          <w:rFonts w:ascii="Times New Roman" w:hAnsi="Times New Roman" w:cs="Times New Roman"/>
          <w:sz w:val="24"/>
          <w:szCs w:val="24"/>
          <w:lang w:val="en-US"/>
        </w:rPr>
      </w:pPr>
      <w:r w:rsidRPr="0093442F">
        <w:rPr>
          <w:rStyle w:val="FootnoteReference"/>
          <w:rFonts w:ascii="Times New Roman" w:hAnsi="Times New Roman" w:cs="Times New Roman"/>
          <w:sz w:val="24"/>
          <w:szCs w:val="24"/>
        </w:rPr>
        <w:footnoteRef/>
      </w:r>
      <w:r w:rsidRPr="0093442F">
        <w:rPr>
          <w:rFonts w:ascii="Times New Roman" w:hAnsi="Times New Roman" w:cs="Times New Roman"/>
          <w:sz w:val="24"/>
          <w:szCs w:val="24"/>
        </w:rPr>
        <w:t xml:space="preserve"> </w:t>
      </w:r>
      <w:proofErr w:type="spellStart"/>
      <w:r w:rsidR="000C0B25" w:rsidRPr="0093442F">
        <w:rPr>
          <w:rFonts w:ascii="Times New Roman" w:hAnsi="Times New Roman" w:cs="Times New Roman"/>
          <w:i/>
          <w:iCs/>
          <w:sz w:val="24"/>
          <w:szCs w:val="24"/>
        </w:rPr>
        <w:t>Code</w:t>
      </w:r>
      <w:proofErr w:type="spellEnd"/>
      <w:r w:rsidR="000C0B25" w:rsidRPr="0093442F">
        <w:rPr>
          <w:rFonts w:ascii="Times New Roman" w:hAnsi="Times New Roman" w:cs="Times New Roman"/>
          <w:i/>
          <w:iCs/>
          <w:sz w:val="24"/>
          <w:szCs w:val="24"/>
        </w:rPr>
        <w:t xml:space="preserve"> </w:t>
      </w:r>
      <w:proofErr w:type="spellStart"/>
      <w:r w:rsidR="000C0B25" w:rsidRPr="0093442F">
        <w:rPr>
          <w:rFonts w:ascii="Times New Roman" w:hAnsi="Times New Roman" w:cs="Times New Roman"/>
          <w:i/>
          <w:iCs/>
          <w:sz w:val="24"/>
          <w:szCs w:val="24"/>
        </w:rPr>
        <w:t>civil</w:t>
      </w:r>
      <w:proofErr w:type="spellEnd"/>
      <w:r w:rsidR="000C0B25" w:rsidRPr="0093442F">
        <w:rPr>
          <w:rFonts w:ascii="Times New Roman" w:hAnsi="Times New Roman" w:cs="Times New Roman"/>
          <w:i/>
          <w:iCs/>
          <w:sz w:val="24"/>
          <w:szCs w:val="24"/>
        </w:rPr>
        <w:t xml:space="preserve"> </w:t>
      </w:r>
      <w:proofErr w:type="spellStart"/>
      <w:r w:rsidR="000C0B25" w:rsidRPr="0093442F">
        <w:rPr>
          <w:rFonts w:ascii="Times New Roman" w:hAnsi="Times New Roman" w:cs="Times New Roman"/>
          <w:i/>
          <w:iCs/>
          <w:sz w:val="24"/>
          <w:szCs w:val="24"/>
        </w:rPr>
        <w:t>des</w:t>
      </w:r>
      <w:proofErr w:type="spellEnd"/>
      <w:r w:rsidR="000C0B25" w:rsidRPr="0093442F">
        <w:rPr>
          <w:rFonts w:ascii="Times New Roman" w:hAnsi="Times New Roman" w:cs="Times New Roman"/>
          <w:i/>
          <w:iCs/>
          <w:sz w:val="24"/>
          <w:szCs w:val="24"/>
        </w:rPr>
        <w:t xml:space="preserve"> </w:t>
      </w:r>
      <w:proofErr w:type="spellStart"/>
      <w:r w:rsidR="000C0B25" w:rsidRPr="0093442F">
        <w:rPr>
          <w:rFonts w:ascii="Times New Roman" w:hAnsi="Times New Roman" w:cs="Times New Roman"/>
          <w:i/>
          <w:iCs/>
          <w:sz w:val="24"/>
          <w:szCs w:val="24"/>
        </w:rPr>
        <w:t>Français</w:t>
      </w:r>
      <w:proofErr w:type="spellEnd"/>
      <w:r w:rsidR="000C0B25" w:rsidRPr="0093442F">
        <w:rPr>
          <w:rFonts w:ascii="Times New Roman" w:hAnsi="Times New Roman" w:cs="Times New Roman"/>
          <w:i/>
          <w:iCs/>
          <w:sz w:val="24"/>
          <w:szCs w:val="24"/>
        </w:rPr>
        <w:t xml:space="preserve">: </w:t>
      </w:r>
      <w:proofErr w:type="spellStart"/>
      <w:r w:rsidR="000C0B25" w:rsidRPr="0093442F">
        <w:rPr>
          <w:rFonts w:ascii="Times New Roman" w:hAnsi="Times New Roman" w:cs="Times New Roman"/>
          <w:i/>
          <w:iCs/>
          <w:sz w:val="24"/>
          <w:szCs w:val="24"/>
        </w:rPr>
        <w:t>édition</w:t>
      </w:r>
      <w:proofErr w:type="spellEnd"/>
      <w:r w:rsidR="000C0B25" w:rsidRPr="0093442F">
        <w:rPr>
          <w:rFonts w:ascii="Times New Roman" w:hAnsi="Times New Roman" w:cs="Times New Roman"/>
          <w:i/>
          <w:iCs/>
          <w:sz w:val="24"/>
          <w:szCs w:val="24"/>
        </w:rPr>
        <w:t xml:space="preserve"> </w:t>
      </w:r>
      <w:proofErr w:type="spellStart"/>
      <w:r w:rsidR="000C0B25" w:rsidRPr="0093442F">
        <w:rPr>
          <w:rFonts w:ascii="Times New Roman" w:hAnsi="Times New Roman" w:cs="Times New Roman"/>
          <w:i/>
          <w:iCs/>
          <w:sz w:val="24"/>
          <w:szCs w:val="24"/>
        </w:rPr>
        <w:t>originale</w:t>
      </w:r>
      <w:proofErr w:type="spellEnd"/>
      <w:r w:rsidR="000C0B25" w:rsidRPr="0093442F">
        <w:rPr>
          <w:rFonts w:ascii="Times New Roman" w:hAnsi="Times New Roman" w:cs="Times New Roman"/>
          <w:i/>
          <w:iCs/>
          <w:sz w:val="24"/>
          <w:szCs w:val="24"/>
        </w:rPr>
        <w:t xml:space="preserve"> </w:t>
      </w:r>
      <w:proofErr w:type="spellStart"/>
      <w:r w:rsidR="000C0B25" w:rsidRPr="0093442F">
        <w:rPr>
          <w:rFonts w:ascii="Times New Roman" w:hAnsi="Times New Roman" w:cs="Times New Roman"/>
          <w:i/>
          <w:iCs/>
          <w:sz w:val="24"/>
          <w:szCs w:val="24"/>
        </w:rPr>
        <w:t>et</w:t>
      </w:r>
      <w:proofErr w:type="spellEnd"/>
      <w:r w:rsidR="000C0B25" w:rsidRPr="0093442F">
        <w:rPr>
          <w:rFonts w:ascii="Times New Roman" w:hAnsi="Times New Roman" w:cs="Times New Roman"/>
          <w:i/>
          <w:iCs/>
          <w:sz w:val="24"/>
          <w:szCs w:val="24"/>
        </w:rPr>
        <w:t xml:space="preserve"> </w:t>
      </w:r>
      <w:proofErr w:type="spellStart"/>
      <w:r w:rsidR="000C0B25" w:rsidRPr="0093442F">
        <w:rPr>
          <w:rFonts w:ascii="Times New Roman" w:hAnsi="Times New Roman" w:cs="Times New Roman"/>
          <w:i/>
          <w:iCs/>
          <w:sz w:val="24"/>
          <w:szCs w:val="24"/>
        </w:rPr>
        <w:t>seule</w:t>
      </w:r>
      <w:proofErr w:type="spellEnd"/>
      <w:r w:rsidR="000C0B25" w:rsidRPr="0093442F">
        <w:rPr>
          <w:rFonts w:ascii="Times New Roman" w:hAnsi="Times New Roman" w:cs="Times New Roman"/>
          <w:i/>
          <w:iCs/>
          <w:sz w:val="24"/>
          <w:szCs w:val="24"/>
        </w:rPr>
        <w:t xml:space="preserve"> </w:t>
      </w:r>
      <w:proofErr w:type="spellStart"/>
      <w:r w:rsidR="000C0B25" w:rsidRPr="0093442F">
        <w:rPr>
          <w:rFonts w:ascii="Times New Roman" w:hAnsi="Times New Roman" w:cs="Times New Roman"/>
          <w:i/>
          <w:iCs/>
          <w:sz w:val="24"/>
          <w:szCs w:val="24"/>
        </w:rPr>
        <w:t>officielle</w:t>
      </w:r>
      <w:proofErr w:type="spellEnd"/>
      <w:r w:rsidR="000C0B25" w:rsidRPr="0093442F">
        <w:rPr>
          <w:rFonts w:ascii="Times New Roman" w:hAnsi="Times New Roman" w:cs="Times New Roman"/>
          <w:sz w:val="24"/>
          <w:szCs w:val="24"/>
        </w:rPr>
        <w:t xml:space="preserve">. </w:t>
      </w:r>
      <w:proofErr w:type="spellStart"/>
      <w:r w:rsidR="000C0B25" w:rsidRPr="0093442F">
        <w:rPr>
          <w:rFonts w:ascii="Times New Roman" w:hAnsi="Times New Roman" w:cs="Times New Roman"/>
          <w:sz w:val="24"/>
          <w:szCs w:val="24"/>
        </w:rPr>
        <w:t>Gallica</w:t>
      </w:r>
      <w:proofErr w:type="spellEnd"/>
      <w:r w:rsidR="000C0B25" w:rsidRPr="0093442F">
        <w:rPr>
          <w:rFonts w:ascii="Times New Roman" w:hAnsi="Times New Roman" w:cs="Times New Roman"/>
          <w:sz w:val="24"/>
          <w:szCs w:val="24"/>
        </w:rPr>
        <w:t xml:space="preserve">. URL: </w:t>
      </w:r>
      <w:hyperlink r:id="rId5" w:tgtFrame="_new" w:history="1">
        <w:r w:rsidR="000C0B25" w:rsidRPr="0093442F">
          <w:rPr>
            <w:rFonts w:ascii="Times New Roman" w:hAnsi="Times New Roman" w:cs="Times New Roman"/>
            <w:color w:val="0000FF"/>
            <w:sz w:val="24"/>
            <w:szCs w:val="24"/>
            <w:u w:val="single"/>
          </w:rPr>
          <w:t>https://gallica.bnf.fr/ark:/12148/bpt6k1061517/f2.item</w:t>
        </w:r>
      </w:hyperlink>
      <w:r w:rsidR="000C0B25" w:rsidRPr="0093442F">
        <w:rPr>
          <w:rFonts w:ascii="Times New Roman" w:hAnsi="Times New Roman" w:cs="Times New Roman"/>
          <w:sz w:val="24"/>
          <w:szCs w:val="24"/>
        </w:rPr>
        <w:t xml:space="preserve"> (</w:t>
      </w:r>
      <w:proofErr w:type="spellStart"/>
      <w:r w:rsidR="000C0B25" w:rsidRPr="0093442F">
        <w:rPr>
          <w:rFonts w:ascii="Times New Roman" w:hAnsi="Times New Roman" w:cs="Times New Roman"/>
          <w:sz w:val="24"/>
          <w:szCs w:val="24"/>
        </w:rPr>
        <w:t>accessed</w:t>
      </w:r>
      <w:proofErr w:type="spellEnd"/>
      <w:r w:rsidR="000C0B25" w:rsidRPr="0093442F">
        <w:rPr>
          <w:rFonts w:ascii="Times New Roman" w:hAnsi="Times New Roman" w:cs="Times New Roman"/>
          <w:sz w:val="24"/>
          <w:szCs w:val="24"/>
        </w:rPr>
        <w:t xml:space="preserve"> </w:t>
      </w:r>
      <w:proofErr w:type="spellStart"/>
      <w:r w:rsidR="000C0B25" w:rsidRPr="0093442F">
        <w:rPr>
          <w:rFonts w:ascii="Times New Roman" w:hAnsi="Times New Roman" w:cs="Times New Roman"/>
          <w:sz w:val="24"/>
          <w:szCs w:val="24"/>
        </w:rPr>
        <w:t>April</w:t>
      </w:r>
      <w:proofErr w:type="spellEnd"/>
      <w:r w:rsidR="000C0B25" w:rsidRPr="0093442F">
        <w:rPr>
          <w:rFonts w:ascii="Times New Roman" w:hAnsi="Times New Roman" w:cs="Times New Roman"/>
          <w:sz w:val="24"/>
          <w:szCs w:val="24"/>
        </w:rPr>
        <w:t xml:space="preserve"> 9, 2025).</w:t>
      </w:r>
    </w:p>
  </w:footnote>
  <w:footnote w:id="12">
    <w:p w14:paraId="402500BD"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О. І. </w:t>
      </w:r>
      <w:proofErr w:type="spellStart"/>
      <w:r w:rsidRPr="004B38A9">
        <w:rPr>
          <w:rFonts w:ascii="Times New Roman" w:hAnsi="Times New Roman" w:cs="Times New Roman"/>
          <w:sz w:val="24"/>
          <w:szCs w:val="24"/>
        </w:rPr>
        <w:t>Миколенко</w:t>
      </w:r>
      <w:proofErr w:type="spellEnd"/>
      <w:r w:rsidRPr="004B38A9">
        <w:rPr>
          <w:rFonts w:ascii="Times New Roman" w:hAnsi="Times New Roman" w:cs="Times New Roman"/>
          <w:sz w:val="24"/>
          <w:szCs w:val="24"/>
        </w:rPr>
        <w:t xml:space="preserve">, «Поділ національного права на публічне і приватне право та його теоретичне і практичне значення», Правова держава, № 23 (2016): 58-64. </w:t>
      </w:r>
      <w:hyperlink r:id="rId6" w:history="1">
        <w:r w:rsidRPr="004B38A9">
          <w:rPr>
            <w:rStyle w:val="Hyperlink"/>
            <w:rFonts w:ascii="Times New Roman" w:hAnsi="Times New Roman" w:cs="Times New Roman"/>
            <w:sz w:val="24"/>
            <w:szCs w:val="24"/>
          </w:rPr>
          <w:t>http://nbuv.gov.ua/UJRN/Prav_2016_23_13</w:t>
        </w:r>
      </w:hyperlink>
      <w:r w:rsidRPr="004B38A9">
        <w:rPr>
          <w:rFonts w:ascii="Times New Roman" w:hAnsi="Times New Roman" w:cs="Times New Roman"/>
          <w:sz w:val="24"/>
          <w:szCs w:val="24"/>
        </w:rPr>
        <w:t xml:space="preserve">. </w:t>
      </w:r>
    </w:p>
  </w:footnote>
  <w:footnote w:id="13">
    <w:p w14:paraId="669A2BF9"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 </w:t>
      </w:r>
    </w:p>
  </w:footnote>
  <w:footnote w:id="14">
    <w:p w14:paraId="4395DD14"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А. О. </w:t>
      </w:r>
      <w:proofErr w:type="spellStart"/>
      <w:r w:rsidRPr="004B38A9">
        <w:rPr>
          <w:rFonts w:ascii="Times New Roman" w:hAnsi="Times New Roman" w:cs="Times New Roman"/>
          <w:sz w:val="24"/>
          <w:szCs w:val="24"/>
        </w:rPr>
        <w:t>Дутко</w:t>
      </w:r>
      <w:proofErr w:type="spellEnd"/>
      <w:r w:rsidRPr="004B38A9">
        <w:rPr>
          <w:rFonts w:ascii="Times New Roman" w:hAnsi="Times New Roman" w:cs="Times New Roman"/>
          <w:sz w:val="24"/>
          <w:szCs w:val="24"/>
        </w:rPr>
        <w:t xml:space="preserve">, «Особливості юридичних конструкцій приватного права», Вісник Національного університету «Львівська політехніка» № 825 (2015): 65. </w:t>
      </w:r>
      <w:hyperlink r:id="rId7" w:history="1">
        <w:r w:rsidRPr="004B38A9">
          <w:rPr>
            <w:rStyle w:val="Hyperlink"/>
            <w:rFonts w:ascii="Times New Roman" w:hAnsi="Times New Roman" w:cs="Times New Roman"/>
            <w:sz w:val="24"/>
            <w:szCs w:val="24"/>
          </w:rPr>
          <w:t>http://nbuv.gov.ua/UJRN/vnulpurn_2015_825_13</w:t>
        </w:r>
      </w:hyperlink>
      <w:r w:rsidRPr="004B38A9">
        <w:rPr>
          <w:rFonts w:ascii="Times New Roman" w:hAnsi="Times New Roman" w:cs="Times New Roman"/>
          <w:sz w:val="24"/>
          <w:szCs w:val="24"/>
        </w:rPr>
        <w:t>.</w:t>
      </w:r>
    </w:p>
  </w:footnote>
  <w:footnote w:id="15">
    <w:p w14:paraId="674F1823"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О. В. </w:t>
      </w:r>
      <w:proofErr w:type="spellStart"/>
      <w:r w:rsidRPr="004B38A9">
        <w:rPr>
          <w:rFonts w:ascii="Times New Roman" w:hAnsi="Times New Roman" w:cs="Times New Roman"/>
          <w:sz w:val="24"/>
          <w:szCs w:val="24"/>
        </w:rPr>
        <w:t>Дручек</w:t>
      </w:r>
      <w:proofErr w:type="spellEnd"/>
      <w:r w:rsidRPr="004B38A9">
        <w:rPr>
          <w:rFonts w:ascii="Times New Roman" w:hAnsi="Times New Roman" w:cs="Times New Roman"/>
          <w:sz w:val="24"/>
          <w:szCs w:val="24"/>
        </w:rPr>
        <w:t>, «</w:t>
      </w:r>
      <w:proofErr w:type="spellStart"/>
      <w:r w:rsidRPr="004B38A9">
        <w:rPr>
          <w:rFonts w:ascii="Times New Roman" w:hAnsi="Times New Roman" w:cs="Times New Roman"/>
          <w:sz w:val="24"/>
          <w:szCs w:val="24"/>
        </w:rPr>
        <w:t>Романо</w:t>
      </w:r>
      <w:proofErr w:type="spellEnd"/>
      <w:r w:rsidRPr="004B38A9">
        <w:rPr>
          <w:rFonts w:ascii="Times New Roman" w:hAnsi="Times New Roman" w:cs="Times New Roman"/>
          <w:sz w:val="24"/>
          <w:szCs w:val="24"/>
        </w:rPr>
        <w:t xml:space="preserve">-германська та англосаксонська правові системи: історичні аспекти формування та основні характеристики», Право та державне управління, № 2 (2023). </w:t>
      </w:r>
      <w:hyperlink r:id="rId8" w:history="1">
        <w:r w:rsidRPr="004B38A9">
          <w:rPr>
            <w:rStyle w:val="Hyperlink"/>
            <w:rFonts w:ascii="Times New Roman" w:hAnsi="Times New Roman" w:cs="Times New Roman"/>
            <w:sz w:val="24"/>
            <w:szCs w:val="24"/>
          </w:rPr>
          <w:t>http://www.pdu-journal.kpu.zp.ua/archive/2_2023/59.pdf</w:t>
        </w:r>
      </w:hyperlink>
      <w:r w:rsidRPr="004B38A9">
        <w:rPr>
          <w:rFonts w:ascii="Times New Roman" w:hAnsi="Times New Roman" w:cs="Times New Roman"/>
          <w:sz w:val="24"/>
          <w:szCs w:val="24"/>
        </w:rPr>
        <w:t>.</w:t>
      </w:r>
    </w:p>
  </w:footnote>
  <w:footnote w:id="16">
    <w:p w14:paraId="605DE8AE"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М. І. </w:t>
      </w:r>
      <w:proofErr w:type="spellStart"/>
      <w:r w:rsidRPr="004B38A9">
        <w:rPr>
          <w:rFonts w:ascii="Times New Roman" w:hAnsi="Times New Roman" w:cs="Times New Roman"/>
          <w:sz w:val="24"/>
          <w:szCs w:val="24"/>
        </w:rPr>
        <w:t>Козюбра</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заг</w:t>
      </w:r>
      <w:proofErr w:type="spellEnd"/>
      <w:r w:rsidRPr="004B38A9">
        <w:rPr>
          <w:rFonts w:ascii="Times New Roman" w:hAnsi="Times New Roman" w:cs="Times New Roman"/>
          <w:sz w:val="24"/>
          <w:szCs w:val="24"/>
        </w:rPr>
        <w:t xml:space="preserve">. ред., Загальна теорія права (Київ: </w:t>
      </w:r>
      <w:proofErr w:type="spellStart"/>
      <w:r w:rsidRPr="004B38A9">
        <w:rPr>
          <w:rFonts w:ascii="Times New Roman" w:hAnsi="Times New Roman" w:cs="Times New Roman"/>
          <w:sz w:val="24"/>
          <w:szCs w:val="24"/>
        </w:rPr>
        <w:t>Ваіте</w:t>
      </w:r>
      <w:proofErr w:type="spellEnd"/>
      <w:r w:rsidRPr="004B38A9">
        <w:rPr>
          <w:rFonts w:ascii="Times New Roman" w:hAnsi="Times New Roman" w:cs="Times New Roman"/>
          <w:sz w:val="24"/>
          <w:szCs w:val="24"/>
        </w:rPr>
        <w:t>, 2015): 145.</w:t>
      </w:r>
    </w:p>
  </w:footnote>
  <w:footnote w:id="17">
    <w:p w14:paraId="0DB43F9E"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В. </w:t>
      </w:r>
      <w:proofErr w:type="spellStart"/>
      <w:r w:rsidRPr="004B38A9">
        <w:rPr>
          <w:rFonts w:ascii="Times New Roman" w:hAnsi="Times New Roman" w:cs="Times New Roman"/>
          <w:sz w:val="24"/>
          <w:szCs w:val="24"/>
        </w:rPr>
        <w:t>Антошкіна</w:t>
      </w:r>
      <w:proofErr w:type="spellEnd"/>
      <w:r w:rsidRPr="004B38A9">
        <w:rPr>
          <w:rFonts w:ascii="Times New Roman" w:hAnsi="Times New Roman" w:cs="Times New Roman"/>
          <w:sz w:val="24"/>
          <w:szCs w:val="24"/>
        </w:rPr>
        <w:t xml:space="preserve">, «Особливості тлумачення в системі приватного права», Правова позиція, № 3 (2020): 9. </w:t>
      </w:r>
      <w:hyperlink r:id="rId9" w:history="1">
        <w:r w:rsidRPr="004B38A9">
          <w:rPr>
            <w:rStyle w:val="Hyperlink"/>
            <w:rFonts w:ascii="Times New Roman" w:hAnsi="Times New Roman" w:cs="Times New Roman"/>
            <w:sz w:val="24"/>
            <w:szCs w:val="24"/>
          </w:rPr>
          <w:t>https://legalposition.umsf.in.ua/archive/2020/3/1.pdf</w:t>
        </w:r>
      </w:hyperlink>
      <w:r w:rsidRPr="004B38A9">
        <w:rPr>
          <w:rFonts w:ascii="Times New Roman" w:hAnsi="Times New Roman" w:cs="Times New Roman"/>
          <w:sz w:val="24"/>
          <w:szCs w:val="24"/>
        </w:rPr>
        <w:t xml:space="preserve">.  </w:t>
      </w:r>
    </w:p>
  </w:footnote>
  <w:footnote w:id="18">
    <w:p w14:paraId="56F95329"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В. </w:t>
      </w:r>
      <w:proofErr w:type="spellStart"/>
      <w:r w:rsidRPr="004B38A9">
        <w:rPr>
          <w:rFonts w:ascii="Times New Roman" w:hAnsi="Times New Roman" w:cs="Times New Roman"/>
          <w:sz w:val="24"/>
          <w:szCs w:val="24"/>
        </w:rPr>
        <w:t>Антошкіна</w:t>
      </w:r>
      <w:proofErr w:type="spellEnd"/>
      <w:r w:rsidRPr="004B38A9">
        <w:rPr>
          <w:rFonts w:ascii="Times New Roman" w:hAnsi="Times New Roman" w:cs="Times New Roman"/>
          <w:sz w:val="24"/>
          <w:szCs w:val="24"/>
        </w:rPr>
        <w:t xml:space="preserve">, «Особливості тлумачення в системі приватного права», Правова позиція, № 3 (2020): 9. </w:t>
      </w:r>
      <w:hyperlink r:id="rId10" w:history="1">
        <w:r w:rsidRPr="004B38A9">
          <w:rPr>
            <w:rStyle w:val="Hyperlink"/>
            <w:rFonts w:ascii="Times New Roman" w:hAnsi="Times New Roman" w:cs="Times New Roman"/>
            <w:sz w:val="24"/>
            <w:szCs w:val="24"/>
          </w:rPr>
          <w:t>https://legalposition.umsf.in.ua/archive/2020/3/1.pdf</w:t>
        </w:r>
      </w:hyperlink>
      <w:r w:rsidRPr="004B38A9">
        <w:rPr>
          <w:rFonts w:ascii="Times New Roman" w:hAnsi="Times New Roman" w:cs="Times New Roman"/>
          <w:sz w:val="24"/>
          <w:szCs w:val="24"/>
        </w:rPr>
        <w:t xml:space="preserve">.  </w:t>
      </w:r>
    </w:p>
  </w:footnote>
  <w:footnote w:id="19">
    <w:p w14:paraId="35F81FAA" w14:textId="77777777" w:rsidR="00960363" w:rsidRPr="00894C89" w:rsidRDefault="00960363" w:rsidP="004B38A9">
      <w:pPr>
        <w:pStyle w:val="FootnoteText"/>
        <w:jc w:val="both"/>
        <w:rPr>
          <w:rFonts w:ascii="Times New Roman" w:hAnsi="Times New Roman" w:cs="Times New Roman"/>
          <w:sz w:val="24"/>
          <w:szCs w:val="24"/>
          <w:lang w:val="ru-RU"/>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w:t>
      </w:r>
      <w:r w:rsidRPr="00894C89">
        <w:rPr>
          <w:rFonts w:ascii="Times New Roman" w:hAnsi="Times New Roman" w:cs="Times New Roman"/>
          <w:sz w:val="24"/>
          <w:szCs w:val="24"/>
          <w:lang w:val="ru-RU"/>
        </w:rPr>
        <w:t>.</w:t>
      </w:r>
    </w:p>
  </w:footnote>
  <w:footnote w:id="20">
    <w:p w14:paraId="0AE39973"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w:t>
      </w:r>
    </w:p>
  </w:footnote>
  <w:footnote w:id="21">
    <w:p w14:paraId="58827857"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w:t>
      </w:r>
    </w:p>
  </w:footnote>
  <w:footnote w:id="22">
    <w:p w14:paraId="204F77DA"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w:t>
      </w:r>
    </w:p>
  </w:footnote>
  <w:footnote w:id="23">
    <w:p w14:paraId="23B59C4C" w14:textId="77777777" w:rsidR="00960363" w:rsidRPr="004B38A9" w:rsidRDefault="00960363" w:rsidP="004B38A9">
      <w:pPr>
        <w:pStyle w:val="FootnoteText"/>
        <w:jc w:val="both"/>
        <w:rPr>
          <w:rFonts w:ascii="Times New Roman" w:hAnsi="Times New Roman" w:cs="Times New Roman"/>
          <w:sz w:val="24"/>
          <w:szCs w:val="24"/>
          <w:lang w:val="ru-RU"/>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В. </w:t>
      </w:r>
      <w:proofErr w:type="spellStart"/>
      <w:r w:rsidRPr="004B38A9">
        <w:rPr>
          <w:rFonts w:ascii="Times New Roman" w:hAnsi="Times New Roman" w:cs="Times New Roman"/>
          <w:sz w:val="24"/>
          <w:szCs w:val="24"/>
        </w:rPr>
        <w:t>Антошкіна</w:t>
      </w:r>
      <w:proofErr w:type="spellEnd"/>
      <w:r w:rsidRPr="004B38A9">
        <w:rPr>
          <w:rFonts w:ascii="Times New Roman" w:hAnsi="Times New Roman" w:cs="Times New Roman"/>
          <w:sz w:val="24"/>
          <w:szCs w:val="24"/>
        </w:rPr>
        <w:t xml:space="preserve">, «Особливості тлумачення в системі приватного права», Правова позиція, № 3 (2020): 9. </w:t>
      </w:r>
      <w:hyperlink r:id="rId11" w:history="1">
        <w:r w:rsidRPr="004B38A9">
          <w:rPr>
            <w:rStyle w:val="Hyperlink"/>
            <w:rFonts w:ascii="Times New Roman" w:hAnsi="Times New Roman" w:cs="Times New Roman"/>
            <w:sz w:val="24"/>
            <w:szCs w:val="24"/>
          </w:rPr>
          <w:t>https://legalposition.umsf.in.ua/archive/2020/3/1.pdf</w:t>
        </w:r>
      </w:hyperlink>
      <w:r w:rsidRPr="004B38A9">
        <w:rPr>
          <w:rFonts w:ascii="Times New Roman" w:hAnsi="Times New Roman" w:cs="Times New Roman"/>
          <w:sz w:val="24"/>
          <w:szCs w:val="24"/>
        </w:rPr>
        <w:t>.</w:t>
      </w:r>
    </w:p>
  </w:footnote>
  <w:footnote w:id="24">
    <w:p w14:paraId="0939C8A2"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 10.</w:t>
      </w:r>
    </w:p>
  </w:footnote>
  <w:footnote w:id="25">
    <w:p w14:paraId="08D2AB19"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w:t>
      </w:r>
    </w:p>
  </w:footnote>
  <w:footnote w:id="26">
    <w:p w14:paraId="14FA930F"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М. І. </w:t>
      </w:r>
      <w:proofErr w:type="spellStart"/>
      <w:r w:rsidRPr="004B38A9">
        <w:rPr>
          <w:rFonts w:ascii="Times New Roman" w:hAnsi="Times New Roman" w:cs="Times New Roman"/>
          <w:sz w:val="24"/>
          <w:szCs w:val="24"/>
        </w:rPr>
        <w:t>Козюбра</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заг</w:t>
      </w:r>
      <w:proofErr w:type="spellEnd"/>
      <w:r w:rsidRPr="004B38A9">
        <w:rPr>
          <w:rFonts w:ascii="Times New Roman" w:hAnsi="Times New Roman" w:cs="Times New Roman"/>
          <w:sz w:val="24"/>
          <w:szCs w:val="24"/>
        </w:rPr>
        <w:t xml:space="preserve">. ред., Загальна теорія права (Київ: </w:t>
      </w:r>
      <w:proofErr w:type="spellStart"/>
      <w:r w:rsidRPr="004B38A9">
        <w:rPr>
          <w:rFonts w:ascii="Times New Roman" w:hAnsi="Times New Roman" w:cs="Times New Roman"/>
          <w:sz w:val="24"/>
          <w:szCs w:val="24"/>
        </w:rPr>
        <w:t>Ваіте</w:t>
      </w:r>
      <w:proofErr w:type="spellEnd"/>
      <w:r w:rsidRPr="004B38A9">
        <w:rPr>
          <w:rFonts w:ascii="Times New Roman" w:hAnsi="Times New Roman" w:cs="Times New Roman"/>
          <w:sz w:val="24"/>
          <w:szCs w:val="24"/>
        </w:rPr>
        <w:t>, 2015): 145.</w:t>
      </w:r>
    </w:p>
  </w:footnote>
  <w:footnote w:id="27">
    <w:p w14:paraId="6BE86A08"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w:t>
      </w:r>
    </w:p>
  </w:footnote>
  <w:footnote w:id="28">
    <w:p w14:paraId="4E38AEF7"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В. Ф. </w:t>
      </w:r>
      <w:proofErr w:type="spellStart"/>
      <w:r w:rsidRPr="004B38A9">
        <w:rPr>
          <w:rFonts w:ascii="Times New Roman" w:hAnsi="Times New Roman" w:cs="Times New Roman"/>
          <w:sz w:val="24"/>
          <w:szCs w:val="24"/>
        </w:rPr>
        <w:t>Асмус</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Логика</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Гос</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изд</w:t>
      </w:r>
      <w:proofErr w:type="spellEnd"/>
      <w:r w:rsidRPr="004B38A9">
        <w:rPr>
          <w:rFonts w:ascii="Times New Roman" w:hAnsi="Times New Roman" w:cs="Times New Roman"/>
          <w:sz w:val="24"/>
          <w:szCs w:val="24"/>
        </w:rPr>
        <w:t xml:space="preserve">-во </w:t>
      </w:r>
      <w:proofErr w:type="spellStart"/>
      <w:r w:rsidRPr="004B38A9">
        <w:rPr>
          <w:rFonts w:ascii="Times New Roman" w:hAnsi="Times New Roman" w:cs="Times New Roman"/>
          <w:sz w:val="24"/>
          <w:szCs w:val="24"/>
        </w:rPr>
        <w:t>полит</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лит-ры</w:t>
      </w:r>
      <w:proofErr w:type="spellEnd"/>
      <w:r w:rsidRPr="004B38A9">
        <w:rPr>
          <w:rFonts w:ascii="Times New Roman" w:hAnsi="Times New Roman" w:cs="Times New Roman"/>
          <w:sz w:val="24"/>
          <w:szCs w:val="24"/>
        </w:rPr>
        <w:t>, 1947): 335.</w:t>
      </w:r>
    </w:p>
  </w:footnote>
  <w:footnote w:id="29">
    <w:p w14:paraId="6F9D0F85"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О. В. Бондар, «Поняття і значення застосування аналогії в кримінальному судочинстві, Актуальні проблеми вдосконалення чинного законодавства України», № 21 (2009): 4. </w:t>
      </w:r>
      <w:hyperlink r:id="rId12" w:history="1">
        <w:r w:rsidRPr="004B38A9">
          <w:rPr>
            <w:rStyle w:val="Hyperlink"/>
            <w:rFonts w:ascii="Times New Roman" w:hAnsi="Times New Roman" w:cs="Times New Roman"/>
            <w:sz w:val="24"/>
            <w:szCs w:val="24"/>
          </w:rPr>
          <w:t>http://nbuv.gov.ua/UJRN/apvchzu_2009_21_40</w:t>
        </w:r>
      </w:hyperlink>
      <w:r w:rsidRPr="004B38A9">
        <w:rPr>
          <w:rFonts w:ascii="Times New Roman" w:hAnsi="Times New Roman" w:cs="Times New Roman"/>
          <w:sz w:val="24"/>
          <w:szCs w:val="24"/>
        </w:rPr>
        <w:t xml:space="preserve">. </w:t>
      </w:r>
    </w:p>
  </w:footnote>
  <w:footnote w:id="30">
    <w:p w14:paraId="776960B1"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 М. Карнаух, «Проблеми застосування правової аналогії у цивільному судочинстві України», Наукові записки </w:t>
      </w:r>
      <w:proofErr w:type="spellStart"/>
      <w:r w:rsidRPr="004B38A9">
        <w:rPr>
          <w:rFonts w:ascii="Times New Roman" w:hAnsi="Times New Roman" w:cs="Times New Roman"/>
          <w:sz w:val="24"/>
          <w:szCs w:val="24"/>
        </w:rPr>
        <w:t>НаУКМА</w:t>
      </w:r>
      <w:proofErr w:type="spellEnd"/>
      <w:r w:rsidRPr="004B38A9">
        <w:rPr>
          <w:rFonts w:ascii="Times New Roman" w:hAnsi="Times New Roman" w:cs="Times New Roman"/>
          <w:sz w:val="24"/>
          <w:szCs w:val="24"/>
        </w:rPr>
        <w:t xml:space="preserve"> (2010): 107.</w:t>
      </w:r>
    </w:p>
  </w:footnote>
  <w:footnote w:id="31">
    <w:p w14:paraId="20AF5E6A"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М. І. </w:t>
      </w:r>
      <w:proofErr w:type="spellStart"/>
      <w:r w:rsidRPr="004B38A9">
        <w:rPr>
          <w:rFonts w:ascii="Times New Roman" w:hAnsi="Times New Roman" w:cs="Times New Roman"/>
          <w:sz w:val="24"/>
          <w:szCs w:val="24"/>
        </w:rPr>
        <w:t>Козюбра</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заг</w:t>
      </w:r>
      <w:proofErr w:type="spellEnd"/>
      <w:r w:rsidRPr="004B38A9">
        <w:rPr>
          <w:rFonts w:ascii="Times New Roman" w:hAnsi="Times New Roman" w:cs="Times New Roman"/>
          <w:sz w:val="24"/>
          <w:szCs w:val="24"/>
        </w:rPr>
        <w:t xml:space="preserve">. ред., Загальна теорія права (Київ: </w:t>
      </w:r>
      <w:proofErr w:type="spellStart"/>
      <w:r w:rsidRPr="004B38A9">
        <w:rPr>
          <w:rFonts w:ascii="Times New Roman" w:hAnsi="Times New Roman" w:cs="Times New Roman"/>
          <w:sz w:val="24"/>
          <w:szCs w:val="24"/>
        </w:rPr>
        <w:t>Ваіте</w:t>
      </w:r>
      <w:proofErr w:type="spellEnd"/>
      <w:r w:rsidRPr="004B38A9">
        <w:rPr>
          <w:rFonts w:ascii="Times New Roman" w:hAnsi="Times New Roman" w:cs="Times New Roman"/>
          <w:sz w:val="24"/>
          <w:szCs w:val="24"/>
        </w:rPr>
        <w:t>, 2015): 146.</w:t>
      </w:r>
    </w:p>
  </w:footnote>
  <w:footnote w:id="32">
    <w:p w14:paraId="02C5C295"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Briain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Jansen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Dworkin’s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Rights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Conception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the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Rule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Law</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Criminal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Law</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Netherlands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Journal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Legal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Philosophy</w:t>
      </w:r>
      <w:proofErr w:type="spellEnd"/>
      <w:r w:rsidRPr="004B38A9">
        <w:rPr>
          <w:rFonts w:ascii="Times New Roman" w:hAnsi="Times New Roman" w:cs="Times New Roman"/>
          <w:sz w:val="24"/>
          <w:szCs w:val="24"/>
        </w:rPr>
        <w:t xml:space="preserve"> 46, № 2 (2017). </w:t>
      </w:r>
      <w:hyperlink r:id="rId13" w:history="1">
        <w:r w:rsidRPr="004B38A9">
          <w:rPr>
            <w:rStyle w:val="Hyperlink"/>
            <w:rFonts w:ascii="Times New Roman" w:hAnsi="Times New Roman" w:cs="Times New Roman"/>
            <w:sz w:val="24"/>
            <w:szCs w:val="24"/>
          </w:rPr>
          <w:t>https://doi.org/10.5553/njlp/221307132017046002004</w:t>
        </w:r>
      </w:hyperlink>
      <w:r w:rsidRPr="004B38A9">
        <w:rPr>
          <w:rFonts w:ascii="Times New Roman" w:hAnsi="Times New Roman" w:cs="Times New Roman"/>
          <w:sz w:val="24"/>
          <w:szCs w:val="24"/>
        </w:rPr>
        <w:t xml:space="preserve">.  </w:t>
      </w:r>
    </w:p>
  </w:footnote>
  <w:footnote w:id="33">
    <w:p w14:paraId="77C678D6"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Bruns</w:t>
      </w:r>
      <w:proofErr w:type="spellEnd"/>
      <w:r w:rsidRPr="004B38A9">
        <w:rPr>
          <w:rFonts w:ascii="Times New Roman" w:hAnsi="Times New Roman" w:cs="Times New Roman"/>
          <w:sz w:val="24"/>
          <w:szCs w:val="24"/>
        </w:rPr>
        <w:t xml:space="preserve"> G. L., </w:t>
      </w:r>
      <w:proofErr w:type="spellStart"/>
      <w:r w:rsidRPr="004B38A9">
        <w:rPr>
          <w:rFonts w:ascii="Times New Roman" w:hAnsi="Times New Roman" w:cs="Times New Roman"/>
          <w:sz w:val="24"/>
          <w:szCs w:val="24"/>
        </w:rPr>
        <w:t>Law</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and</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Language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Hermeneutics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the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Legal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Text</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University</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California</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Press</w:t>
      </w:r>
      <w:proofErr w:type="spellEnd"/>
      <w:r w:rsidRPr="004B38A9">
        <w:rPr>
          <w:rFonts w:ascii="Times New Roman" w:hAnsi="Times New Roman" w:cs="Times New Roman"/>
          <w:sz w:val="24"/>
          <w:szCs w:val="24"/>
        </w:rPr>
        <w:t>, 1992), 43-44.</w:t>
      </w:r>
    </w:p>
  </w:footnote>
  <w:footnote w:id="34">
    <w:p w14:paraId="1416981E" w14:textId="77777777" w:rsidR="00960363" w:rsidRPr="004B38A9" w:rsidRDefault="00960363" w:rsidP="004B38A9">
      <w:pPr>
        <w:pStyle w:val="FootnoteText"/>
        <w:jc w:val="both"/>
        <w:rPr>
          <w:rFonts w:ascii="Times New Roman" w:hAnsi="Times New Roman" w:cs="Times New Roman"/>
          <w:sz w:val="24"/>
          <w:szCs w:val="24"/>
          <w:lang w:val="ru-RU"/>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r w:rsidRPr="004B38A9">
        <w:rPr>
          <w:rFonts w:ascii="Times New Roman" w:hAnsi="Times New Roman" w:cs="Times New Roman"/>
          <w:sz w:val="24"/>
          <w:szCs w:val="24"/>
          <w:lang w:val="en-US"/>
        </w:rPr>
        <w:t>Ibid</w:t>
      </w:r>
      <w:r w:rsidRPr="004B38A9">
        <w:rPr>
          <w:rFonts w:ascii="Times New Roman" w:hAnsi="Times New Roman" w:cs="Times New Roman"/>
          <w:sz w:val="24"/>
          <w:szCs w:val="24"/>
          <w:lang w:val="ru-RU"/>
        </w:rPr>
        <w:t>.</w:t>
      </w:r>
    </w:p>
  </w:footnote>
  <w:footnote w:id="35">
    <w:p w14:paraId="41D6705E"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О. М. </w:t>
      </w:r>
      <w:proofErr w:type="spellStart"/>
      <w:r w:rsidRPr="004B38A9">
        <w:rPr>
          <w:rFonts w:ascii="Times New Roman" w:hAnsi="Times New Roman" w:cs="Times New Roman"/>
          <w:sz w:val="24"/>
          <w:szCs w:val="24"/>
        </w:rPr>
        <w:t>Балинська</w:t>
      </w:r>
      <w:proofErr w:type="spellEnd"/>
      <w:r w:rsidRPr="004B38A9">
        <w:rPr>
          <w:rFonts w:ascii="Times New Roman" w:hAnsi="Times New Roman" w:cs="Times New Roman"/>
          <w:sz w:val="24"/>
          <w:szCs w:val="24"/>
        </w:rPr>
        <w:t>, Проблеми тлумачення правових норм (Львів, 2021).</w:t>
      </w:r>
    </w:p>
  </w:footnote>
  <w:footnote w:id="36">
    <w:p w14:paraId="5AA1AC33" w14:textId="77777777" w:rsidR="00960363" w:rsidRPr="004B38A9" w:rsidRDefault="00960363" w:rsidP="004B38A9">
      <w:pPr>
        <w:pStyle w:val="FootnoteText"/>
        <w:jc w:val="both"/>
        <w:rPr>
          <w:rFonts w:ascii="Times New Roman" w:hAnsi="Times New Roman" w:cs="Times New Roman"/>
          <w:sz w:val="24"/>
          <w:szCs w:val="24"/>
          <w:lang w:val="ru-RU"/>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З. </w:t>
      </w:r>
      <w:proofErr w:type="spellStart"/>
      <w:r w:rsidRPr="004B38A9">
        <w:rPr>
          <w:rFonts w:ascii="Times New Roman" w:hAnsi="Times New Roman" w:cs="Times New Roman"/>
          <w:sz w:val="24"/>
          <w:szCs w:val="24"/>
        </w:rPr>
        <w:t>Загиней</w:t>
      </w:r>
      <w:proofErr w:type="spellEnd"/>
      <w:r w:rsidRPr="004B38A9">
        <w:rPr>
          <w:rFonts w:ascii="Times New Roman" w:hAnsi="Times New Roman" w:cs="Times New Roman"/>
          <w:sz w:val="24"/>
          <w:szCs w:val="24"/>
        </w:rPr>
        <w:t xml:space="preserve">, Кримінально-правова герменевтика (Київ, 2015): </w:t>
      </w:r>
      <w:r w:rsidRPr="004B38A9">
        <w:rPr>
          <w:rFonts w:ascii="Times New Roman" w:hAnsi="Times New Roman" w:cs="Times New Roman"/>
          <w:sz w:val="24"/>
          <w:szCs w:val="24"/>
          <w:lang w:val="ru-RU"/>
        </w:rPr>
        <w:t>48.</w:t>
      </w:r>
    </w:p>
  </w:footnote>
  <w:footnote w:id="37">
    <w:p w14:paraId="07580981"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D. </w:t>
      </w:r>
      <w:proofErr w:type="spellStart"/>
      <w:r w:rsidRPr="004B38A9">
        <w:rPr>
          <w:rFonts w:ascii="Times New Roman" w:hAnsi="Times New Roman" w:cs="Times New Roman"/>
          <w:sz w:val="24"/>
          <w:szCs w:val="24"/>
        </w:rPr>
        <w:t>Canale</w:t>
      </w:r>
      <w:proofErr w:type="spellEnd"/>
      <w:r w:rsidRPr="004B38A9">
        <w:rPr>
          <w:rFonts w:ascii="Times New Roman" w:hAnsi="Times New Roman" w:cs="Times New Roman"/>
          <w:sz w:val="24"/>
          <w:szCs w:val="24"/>
        </w:rPr>
        <w:t xml:space="preserve">, G. </w:t>
      </w:r>
      <w:proofErr w:type="spellStart"/>
      <w:r w:rsidRPr="004B38A9">
        <w:rPr>
          <w:rFonts w:ascii="Times New Roman" w:hAnsi="Times New Roman" w:cs="Times New Roman"/>
          <w:sz w:val="24"/>
          <w:szCs w:val="24"/>
        </w:rPr>
        <w:t>Tuzet</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Analogical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reasoning</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and</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extensive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interpretation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Amsterdam</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University</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Press</w:t>
      </w:r>
      <w:proofErr w:type="spellEnd"/>
      <w:r w:rsidRPr="004B38A9">
        <w:rPr>
          <w:rFonts w:ascii="Times New Roman" w:hAnsi="Times New Roman" w:cs="Times New Roman"/>
          <w:sz w:val="24"/>
          <w:szCs w:val="24"/>
        </w:rPr>
        <w:t xml:space="preserve"> (2018): 71. </w:t>
      </w:r>
      <w:hyperlink r:id="rId14" w:history="1">
        <w:r w:rsidRPr="004B38A9">
          <w:rPr>
            <w:rStyle w:val="Hyperlink"/>
            <w:rFonts w:ascii="Times New Roman" w:hAnsi="Times New Roman" w:cs="Times New Roman"/>
            <w:sz w:val="24"/>
            <w:szCs w:val="24"/>
          </w:rPr>
          <w:t>https://www.degruyter.com/document/doi/10.1515/9789048537143-005/html?lang=en&amp;srsltid=AfmBOopGY4eoKJrGDvUcX3QEYCek8cgL2CNn-WdrjT_B7fuKJL3Z83rz</w:t>
        </w:r>
      </w:hyperlink>
      <w:r w:rsidRPr="004B38A9">
        <w:rPr>
          <w:rFonts w:ascii="Times New Roman" w:hAnsi="Times New Roman" w:cs="Times New Roman"/>
          <w:sz w:val="24"/>
          <w:szCs w:val="24"/>
        </w:rPr>
        <w:t xml:space="preserve">. </w:t>
      </w:r>
    </w:p>
  </w:footnote>
  <w:footnote w:id="38">
    <w:p w14:paraId="57715FB2"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r w:rsidRPr="004B38A9">
        <w:rPr>
          <w:rFonts w:ascii="Times New Roman" w:hAnsi="Times New Roman" w:cs="Times New Roman"/>
          <w:sz w:val="24"/>
          <w:szCs w:val="24"/>
          <w:lang w:val="en-US"/>
        </w:rPr>
        <w:t>Ibid</w:t>
      </w:r>
      <w:r w:rsidRPr="004B38A9">
        <w:rPr>
          <w:rFonts w:ascii="Times New Roman" w:hAnsi="Times New Roman" w:cs="Times New Roman"/>
          <w:sz w:val="24"/>
          <w:szCs w:val="24"/>
        </w:rPr>
        <w:t>, 73.</w:t>
      </w:r>
    </w:p>
  </w:footnote>
  <w:footnote w:id="39">
    <w:p w14:paraId="33711498" w14:textId="77777777" w:rsidR="00960363" w:rsidRPr="004B38A9" w:rsidRDefault="00960363" w:rsidP="00446278">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D. </w:t>
      </w:r>
      <w:proofErr w:type="spellStart"/>
      <w:r w:rsidRPr="004B38A9">
        <w:rPr>
          <w:rFonts w:ascii="Times New Roman" w:hAnsi="Times New Roman" w:cs="Times New Roman"/>
          <w:sz w:val="24"/>
          <w:szCs w:val="24"/>
        </w:rPr>
        <w:t>Canale</w:t>
      </w:r>
      <w:proofErr w:type="spellEnd"/>
      <w:r w:rsidRPr="004B38A9">
        <w:rPr>
          <w:rFonts w:ascii="Times New Roman" w:hAnsi="Times New Roman" w:cs="Times New Roman"/>
          <w:sz w:val="24"/>
          <w:szCs w:val="24"/>
        </w:rPr>
        <w:t xml:space="preserve">, G. </w:t>
      </w:r>
      <w:proofErr w:type="spellStart"/>
      <w:r w:rsidRPr="004B38A9">
        <w:rPr>
          <w:rFonts w:ascii="Times New Roman" w:hAnsi="Times New Roman" w:cs="Times New Roman"/>
          <w:sz w:val="24"/>
          <w:szCs w:val="24"/>
        </w:rPr>
        <w:t>Tuzet</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Analogical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reasoning</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and</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extensive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interpretation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Amste</w:t>
      </w:r>
      <w:r>
        <w:rPr>
          <w:rFonts w:ascii="Times New Roman" w:hAnsi="Times New Roman" w:cs="Times New Roman"/>
          <w:sz w:val="24"/>
          <w:szCs w:val="24"/>
        </w:rPr>
        <w:t>rdam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xml:space="preserve"> (2018): 73</w:t>
      </w:r>
      <w:r w:rsidRPr="004B38A9">
        <w:rPr>
          <w:rFonts w:ascii="Times New Roman" w:hAnsi="Times New Roman" w:cs="Times New Roman"/>
          <w:sz w:val="24"/>
          <w:szCs w:val="24"/>
        </w:rPr>
        <w:t xml:space="preserve">. </w:t>
      </w:r>
      <w:hyperlink r:id="rId15" w:history="1">
        <w:r w:rsidRPr="004B38A9">
          <w:rPr>
            <w:rStyle w:val="Hyperlink"/>
            <w:rFonts w:ascii="Times New Roman" w:hAnsi="Times New Roman" w:cs="Times New Roman"/>
            <w:sz w:val="24"/>
            <w:szCs w:val="24"/>
          </w:rPr>
          <w:t>https://www.degruyter.com/document/doi/10.1515/9789048537143-005/html?lang=en&amp;srsltid=AfmBOopGY4eoKJrGDvUcX3QEYCek8cgL2CNn-WdrjT_B7fuKJL3Z83rz</w:t>
        </w:r>
      </w:hyperlink>
      <w:r w:rsidRPr="004B38A9">
        <w:rPr>
          <w:rFonts w:ascii="Times New Roman" w:hAnsi="Times New Roman" w:cs="Times New Roman"/>
          <w:sz w:val="24"/>
          <w:szCs w:val="24"/>
        </w:rPr>
        <w:t>.</w:t>
      </w:r>
    </w:p>
  </w:footnote>
  <w:footnote w:id="40">
    <w:p w14:paraId="142FD866"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r>
        <w:rPr>
          <w:rFonts w:ascii="Times New Roman" w:hAnsi="Times New Roman" w:cs="Times New Roman"/>
          <w:sz w:val="24"/>
          <w:szCs w:val="24"/>
          <w:lang w:val="en-US"/>
        </w:rPr>
        <w:t>Ibid</w:t>
      </w:r>
      <w:r w:rsidRPr="00894C89">
        <w:rPr>
          <w:rFonts w:ascii="Times New Roman" w:hAnsi="Times New Roman" w:cs="Times New Roman"/>
          <w:sz w:val="24"/>
          <w:szCs w:val="24"/>
        </w:rPr>
        <w:t>,</w:t>
      </w:r>
      <w:r>
        <w:rPr>
          <w:rFonts w:ascii="Times New Roman" w:hAnsi="Times New Roman" w:cs="Times New Roman"/>
          <w:sz w:val="24"/>
          <w:szCs w:val="24"/>
        </w:rPr>
        <w:t xml:space="preserve"> 73-75</w:t>
      </w:r>
      <w:r w:rsidRPr="004B38A9">
        <w:rPr>
          <w:rFonts w:ascii="Times New Roman" w:hAnsi="Times New Roman" w:cs="Times New Roman"/>
          <w:sz w:val="24"/>
          <w:szCs w:val="24"/>
        </w:rPr>
        <w:t>.</w:t>
      </w:r>
    </w:p>
  </w:footnote>
  <w:footnote w:id="41">
    <w:p w14:paraId="0A8D77FB"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С. В. </w:t>
      </w:r>
      <w:proofErr w:type="spellStart"/>
      <w:r w:rsidRPr="004B38A9">
        <w:rPr>
          <w:rFonts w:ascii="Times New Roman" w:hAnsi="Times New Roman" w:cs="Times New Roman"/>
          <w:sz w:val="24"/>
          <w:szCs w:val="24"/>
        </w:rPr>
        <w:t>Хилюк</w:t>
      </w:r>
      <w:proofErr w:type="spellEnd"/>
      <w:r w:rsidRPr="004B38A9">
        <w:rPr>
          <w:rFonts w:ascii="Times New Roman" w:hAnsi="Times New Roman" w:cs="Times New Roman"/>
          <w:sz w:val="24"/>
          <w:szCs w:val="24"/>
        </w:rPr>
        <w:t>, «</w:t>
      </w:r>
      <w:proofErr w:type="spellStart"/>
      <w:r w:rsidRPr="004B38A9">
        <w:rPr>
          <w:rFonts w:ascii="Times New Roman" w:hAnsi="Times New Roman" w:cs="Times New Roman"/>
          <w:sz w:val="24"/>
          <w:szCs w:val="24"/>
        </w:rPr>
        <w:t>Lex</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stricta</w:t>
      </w:r>
      <w:proofErr w:type="spellEnd"/>
      <w:r w:rsidRPr="004B38A9">
        <w:rPr>
          <w:rFonts w:ascii="Times New Roman" w:hAnsi="Times New Roman" w:cs="Times New Roman"/>
          <w:sz w:val="24"/>
          <w:szCs w:val="24"/>
        </w:rPr>
        <w:t xml:space="preserve"> як складова принципу законності у кримінальному праві в інтерпретації Європейського суду з прав людини», Часопис Академії адвокатури України, Т. 7, № 3 (2014): 92. </w:t>
      </w:r>
      <w:hyperlink r:id="rId16" w:history="1">
        <w:r w:rsidRPr="004B38A9">
          <w:rPr>
            <w:rStyle w:val="Hyperlink"/>
            <w:rFonts w:ascii="Times New Roman" w:hAnsi="Times New Roman" w:cs="Times New Roman"/>
            <w:sz w:val="24"/>
            <w:szCs w:val="24"/>
          </w:rPr>
          <w:t>http://nbuv.gov.ua/UJRN/Chaau_2014_7_3_13</w:t>
        </w:r>
      </w:hyperlink>
      <w:r w:rsidRPr="004B38A9">
        <w:rPr>
          <w:rFonts w:ascii="Times New Roman" w:hAnsi="Times New Roman" w:cs="Times New Roman"/>
          <w:sz w:val="24"/>
          <w:szCs w:val="24"/>
        </w:rPr>
        <w:t xml:space="preserve">. </w:t>
      </w:r>
    </w:p>
  </w:footnote>
  <w:footnote w:id="42">
    <w:p w14:paraId="70409120"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С. В. </w:t>
      </w:r>
      <w:proofErr w:type="spellStart"/>
      <w:r w:rsidRPr="004B38A9">
        <w:rPr>
          <w:rFonts w:ascii="Times New Roman" w:hAnsi="Times New Roman" w:cs="Times New Roman"/>
          <w:sz w:val="24"/>
          <w:szCs w:val="24"/>
        </w:rPr>
        <w:t>Хилюк</w:t>
      </w:r>
      <w:proofErr w:type="spellEnd"/>
      <w:r w:rsidRPr="004B38A9">
        <w:rPr>
          <w:rFonts w:ascii="Times New Roman" w:hAnsi="Times New Roman" w:cs="Times New Roman"/>
          <w:sz w:val="24"/>
          <w:szCs w:val="24"/>
        </w:rPr>
        <w:t>, «</w:t>
      </w:r>
      <w:proofErr w:type="spellStart"/>
      <w:r w:rsidRPr="004B38A9">
        <w:rPr>
          <w:rFonts w:ascii="Times New Roman" w:hAnsi="Times New Roman" w:cs="Times New Roman"/>
          <w:sz w:val="24"/>
          <w:szCs w:val="24"/>
        </w:rPr>
        <w:t>Lex</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stricta</w:t>
      </w:r>
      <w:proofErr w:type="spellEnd"/>
      <w:r w:rsidRPr="004B38A9">
        <w:rPr>
          <w:rFonts w:ascii="Times New Roman" w:hAnsi="Times New Roman" w:cs="Times New Roman"/>
          <w:sz w:val="24"/>
          <w:szCs w:val="24"/>
        </w:rPr>
        <w:t xml:space="preserve"> як складова принципу законності у кримінальному праві в інтерпретації Європейського суду з прав людини», Часопис Академії адвокатури України, Т. 7, № 3 (2014): 93. </w:t>
      </w:r>
      <w:hyperlink r:id="rId17" w:history="1">
        <w:r w:rsidRPr="004B38A9">
          <w:rPr>
            <w:rStyle w:val="Hyperlink"/>
            <w:rFonts w:ascii="Times New Roman" w:hAnsi="Times New Roman" w:cs="Times New Roman"/>
            <w:sz w:val="24"/>
            <w:szCs w:val="24"/>
          </w:rPr>
          <w:t>http://nbuv.gov.ua/UJRN/Chaau_2014_7_3_13</w:t>
        </w:r>
      </w:hyperlink>
      <w:r w:rsidRPr="004B38A9">
        <w:rPr>
          <w:rFonts w:ascii="Times New Roman" w:hAnsi="Times New Roman" w:cs="Times New Roman"/>
          <w:sz w:val="24"/>
          <w:szCs w:val="24"/>
        </w:rPr>
        <w:t>.</w:t>
      </w:r>
    </w:p>
  </w:footnote>
  <w:footnote w:id="43">
    <w:p w14:paraId="780C7A9F"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 94.</w:t>
      </w:r>
    </w:p>
  </w:footnote>
  <w:footnote w:id="44">
    <w:p w14:paraId="11C92BA9" w14:textId="77777777" w:rsidR="00960363" w:rsidRPr="00894C89" w:rsidRDefault="00960363" w:rsidP="004B38A9">
      <w:pPr>
        <w:pStyle w:val="FootnoteText"/>
        <w:tabs>
          <w:tab w:val="left" w:pos="142"/>
        </w:tabs>
        <w:jc w:val="both"/>
        <w:rPr>
          <w:rFonts w:ascii="Times New Roman" w:hAnsi="Times New Roman" w:cs="Times New Roman"/>
          <w:sz w:val="24"/>
          <w:szCs w:val="24"/>
          <w:lang w:val="en-US"/>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C.R. v. </w:t>
      </w:r>
      <w:proofErr w:type="spellStart"/>
      <w:r w:rsidRPr="004B38A9">
        <w:rPr>
          <w:rFonts w:ascii="Times New Roman" w:hAnsi="Times New Roman" w:cs="Times New Roman"/>
          <w:sz w:val="24"/>
          <w:szCs w:val="24"/>
        </w:rPr>
        <w:t>the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United</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Kingdom</w:t>
      </w:r>
      <w:proofErr w:type="spellEnd"/>
      <w:r w:rsidRPr="004B38A9">
        <w:rPr>
          <w:rFonts w:ascii="Times New Roman" w:hAnsi="Times New Roman" w:cs="Times New Roman"/>
          <w:sz w:val="24"/>
          <w:szCs w:val="24"/>
        </w:rPr>
        <w:t xml:space="preserve">. HUDOC - </w:t>
      </w:r>
      <w:proofErr w:type="spellStart"/>
      <w:r w:rsidRPr="004B38A9">
        <w:rPr>
          <w:rFonts w:ascii="Times New Roman" w:hAnsi="Times New Roman" w:cs="Times New Roman"/>
          <w:sz w:val="24"/>
          <w:szCs w:val="24"/>
        </w:rPr>
        <w:t>European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Court</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Human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Rights</w:t>
      </w:r>
      <w:proofErr w:type="spellEnd"/>
      <w:r w:rsidRPr="004B38A9">
        <w:rPr>
          <w:rFonts w:ascii="Times New Roman" w:hAnsi="Times New Roman" w:cs="Times New Roman"/>
          <w:sz w:val="24"/>
          <w:szCs w:val="24"/>
        </w:rPr>
        <w:t xml:space="preserve">. </w:t>
      </w:r>
      <w:hyperlink r:id="rId18" w:anchor="{%22itemid%22:[%22001-57955%22]}" w:history="1">
        <w:r w:rsidRPr="004B38A9">
          <w:rPr>
            <w:rStyle w:val="Hyperlink"/>
            <w:rFonts w:ascii="Times New Roman" w:hAnsi="Times New Roman" w:cs="Times New Roman"/>
            <w:sz w:val="24"/>
            <w:szCs w:val="24"/>
          </w:rPr>
          <w:t>https://hudoc.echr.coe.int/eng#{%22itemid%22:[%22001-57955%22]}</w:t>
        </w:r>
      </w:hyperlink>
      <w:r w:rsidRPr="004B38A9">
        <w:rPr>
          <w:rFonts w:ascii="Times New Roman" w:hAnsi="Times New Roman" w:cs="Times New Roman"/>
          <w:sz w:val="24"/>
          <w:szCs w:val="24"/>
        </w:rPr>
        <w:t>.</w:t>
      </w:r>
      <w:r w:rsidRPr="00894C89">
        <w:rPr>
          <w:rFonts w:ascii="Times New Roman" w:hAnsi="Times New Roman" w:cs="Times New Roman"/>
          <w:sz w:val="24"/>
          <w:szCs w:val="24"/>
          <w:lang w:val="en-US"/>
        </w:rPr>
        <w:t xml:space="preserve"> </w:t>
      </w:r>
    </w:p>
  </w:footnote>
  <w:footnote w:id="45">
    <w:p w14:paraId="6D9CBCA5" w14:textId="77777777" w:rsidR="00960363" w:rsidRPr="004B38A9" w:rsidRDefault="00960363" w:rsidP="00446278">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C.R. v. </w:t>
      </w:r>
      <w:proofErr w:type="spellStart"/>
      <w:r w:rsidRPr="004B38A9">
        <w:rPr>
          <w:rFonts w:ascii="Times New Roman" w:hAnsi="Times New Roman" w:cs="Times New Roman"/>
          <w:sz w:val="24"/>
          <w:szCs w:val="24"/>
        </w:rPr>
        <w:t>the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United</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Kingdom</w:t>
      </w:r>
      <w:proofErr w:type="spellEnd"/>
      <w:r w:rsidRPr="004B38A9">
        <w:rPr>
          <w:rFonts w:ascii="Times New Roman" w:hAnsi="Times New Roman" w:cs="Times New Roman"/>
          <w:sz w:val="24"/>
          <w:szCs w:val="24"/>
        </w:rPr>
        <w:t xml:space="preserve">. HUDOC - </w:t>
      </w:r>
      <w:proofErr w:type="spellStart"/>
      <w:r w:rsidRPr="004B38A9">
        <w:rPr>
          <w:rFonts w:ascii="Times New Roman" w:hAnsi="Times New Roman" w:cs="Times New Roman"/>
          <w:sz w:val="24"/>
          <w:szCs w:val="24"/>
        </w:rPr>
        <w:t>European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Court</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Human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Rights</w:t>
      </w:r>
      <w:proofErr w:type="spellEnd"/>
      <w:r w:rsidRPr="004B38A9">
        <w:rPr>
          <w:rFonts w:ascii="Times New Roman" w:hAnsi="Times New Roman" w:cs="Times New Roman"/>
          <w:sz w:val="24"/>
          <w:szCs w:val="24"/>
        </w:rPr>
        <w:t xml:space="preserve">. </w:t>
      </w:r>
      <w:hyperlink r:id="rId19" w:anchor="{%22itemid%22:[%22001-57955%22]}" w:history="1">
        <w:r w:rsidRPr="004B38A9">
          <w:rPr>
            <w:rStyle w:val="Hyperlink"/>
            <w:rFonts w:ascii="Times New Roman" w:hAnsi="Times New Roman" w:cs="Times New Roman"/>
            <w:sz w:val="24"/>
            <w:szCs w:val="24"/>
          </w:rPr>
          <w:t>https://hudoc.echr.coe.int/eng#{%22itemid%22:[%22001-57955%22]}</w:t>
        </w:r>
      </w:hyperlink>
      <w:r w:rsidRPr="004B38A9">
        <w:rPr>
          <w:rFonts w:ascii="Times New Roman" w:hAnsi="Times New Roman" w:cs="Times New Roman"/>
          <w:sz w:val="24"/>
          <w:szCs w:val="24"/>
        </w:rPr>
        <w:t>.</w:t>
      </w:r>
    </w:p>
  </w:footnote>
  <w:footnote w:id="46">
    <w:p w14:paraId="30FE065F"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С. В. </w:t>
      </w:r>
      <w:proofErr w:type="spellStart"/>
      <w:r w:rsidRPr="004B38A9">
        <w:rPr>
          <w:rFonts w:ascii="Times New Roman" w:hAnsi="Times New Roman" w:cs="Times New Roman"/>
          <w:sz w:val="24"/>
          <w:szCs w:val="24"/>
        </w:rPr>
        <w:t>Хилюк</w:t>
      </w:r>
      <w:proofErr w:type="spellEnd"/>
      <w:r w:rsidRPr="004B38A9">
        <w:rPr>
          <w:rFonts w:ascii="Times New Roman" w:hAnsi="Times New Roman" w:cs="Times New Roman"/>
          <w:sz w:val="24"/>
          <w:szCs w:val="24"/>
        </w:rPr>
        <w:t>, «</w:t>
      </w:r>
      <w:proofErr w:type="spellStart"/>
      <w:r w:rsidRPr="004B38A9">
        <w:rPr>
          <w:rFonts w:ascii="Times New Roman" w:hAnsi="Times New Roman" w:cs="Times New Roman"/>
          <w:sz w:val="24"/>
          <w:szCs w:val="24"/>
        </w:rPr>
        <w:t>Lex</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stricta</w:t>
      </w:r>
      <w:proofErr w:type="spellEnd"/>
      <w:r w:rsidRPr="004B38A9">
        <w:rPr>
          <w:rFonts w:ascii="Times New Roman" w:hAnsi="Times New Roman" w:cs="Times New Roman"/>
          <w:sz w:val="24"/>
          <w:szCs w:val="24"/>
        </w:rPr>
        <w:t xml:space="preserve"> як складова принципу законності у кримінальному праві в інтерпретації Європейського суду з прав людини», Часопис Академії адвокатури України, Т. 7, № 3 (2014): 94.</w:t>
      </w:r>
    </w:p>
  </w:footnote>
  <w:footnote w:id="47">
    <w:p w14:paraId="1C472AE1"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w:t>
      </w:r>
    </w:p>
  </w:footnote>
  <w:footnote w:id="48">
    <w:p w14:paraId="7144AE56"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w:t>
      </w:r>
      <w:r w:rsidRPr="004B38A9">
        <w:rPr>
          <w:rFonts w:ascii="Times New Roman" w:hAnsi="Times New Roman" w:cs="Times New Roman"/>
          <w:sz w:val="24"/>
          <w:szCs w:val="24"/>
          <w:lang w:val="ru-RU"/>
        </w:rPr>
        <w:t xml:space="preserve"> 95</w:t>
      </w:r>
      <w:r w:rsidRPr="004B38A9">
        <w:rPr>
          <w:rFonts w:ascii="Times New Roman" w:hAnsi="Times New Roman" w:cs="Times New Roman"/>
          <w:sz w:val="24"/>
          <w:szCs w:val="24"/>
        </w:rPr>
        <w:t xml:space="preserve">. </w:t>
      </w:r>
    </w:p>
  </w:footnote>
  <w:footnote w:id="49">
    <w:p w14:paraId="72E106B6"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С. В. </w:t>
      </w:r>
      <w:proofErr w:type="spellStart"/>
      <w:r w:rsidRPr="004B38A9">
        <w:rPr>
          <w:rFonts w:ascii="Times New Roman" w:hAnsi="Times New Roman" w:cs="Times New Roman"/>
          <w:sz w:val="24"/>
          <w:szCs w:val="24"/>
        </w:rPr>
        <w:t>Хилюк</w:t>
      </w:r>
      <w:proofErr w:type="spellEnd"/>
      <w:r w:rsidRPr="004B38A9">
        <w:rPr>
          <w:rFonts w:ascii="Times New Roman" w:hAnsi="Times New Roman" w:cs="Times New Roman"/>
          <w:sz w:val="24"/>
          <w:szCs w:val="24"/>
        </w:rPr>
        <w:t>, «</w:t>
      </w:r>
      <w:proofErr w:type="spellStart"/>
      <w:r w:rsidRPr="004B38A9">
        <w:rPr>
          <w:rFonts w:ascii="Times New Roman" w:hAnsi="Times New Roman" w:cs="Times New Roman"/>
          <w:sz w:val="24"/>
          <w:szCs w:val="24"/>
        </w:rPr>
        <w:t>Lex</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stricta</w:t>
      </w:r>
      <w:proofErr w:type="spellEnd"/>
      <w:r w:rsidRPr="004B38A9">
        <w:rPr>
          <w:rFonts w:ascii="Times New Roman" w:hAnsi="Times New Roman" w:cs="Times New Roman"/>
          <w:sz w:val="24"/>
          <w:szCs w:val="24"/>
        </w:rPr>
        <w:t xml:space="preserve"> як складова принципу законності у кримінальному праві в інтерпретації Європейського суду з прав людини», Часопис Академії адвокату</w:t>
      </w:r>
      <w:r>
        <w:rPr>
          <w:rFonts w:ascii="Times New Roman" w:hAnsi="Times New Roman" w:cs="Times New Roman"/>
          <w:sz w:val="24"/>
          <w:szCs w:val="24"/>
        </w:rPr>
        <w:t>ри України, Т. 7, № 3 (2014): 95</w:t>
      </w:r>
      <w:r w:rsidRPr="004B38A9">
        <w:rPr>
          <w:rFonts w:ascii="Times New Roman" w:hAnsi="Times New Roman" w:cs="Times New Roman"/>
          <w:sz w:val="24"/>
          <w:szCs w:val="24"/>
        </w:rPr>
        <w:t>.</w:t>
      </w:r>
    </w:p>
  </w:footnote>
  <w:footnote w:id="50">
    <w:p w14:paraId="3DCB5C7E"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w:t>
      </w:r>
      <w:r w:rsidRPr="004B38A9">
        <w:rPr>
          <w:rFonts w:ascii="Times New Roman" w:hAnsi="Times New Roman" w:cs="Times New Roman"/>
          <w:sz w:val="24"/>
          <w:szCs w:val="24"/>
          <w:lang w:val="en-US"/>
        </w:rPr>
        <w:t xml:space="preserve"> </w:t>
      </w:r>
      <w:r w:rsidRPr="004B38A9">
        <w:rPr>
          <w:rFonts w:ascii="Times New Roman" w:hAnsi="Times New Roman" w:cs="Times New Roman"/>
          <w:sz w:val="24"/>
          <w:szCs w:val="24"/>
        </w:rPr>
        <w:t>96.</w:t>
      </w:r>
    </w:p>
  </w:footnote>
  <w:footnote w:id="51">
    <w:p w14:paraId="3DA828A9"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Там само,</w:t>
      </w:r>
      <w:r w:rsidRPr="004B38A9">
        <w:rPr>
          <w:rFonts w:ascii="Times New Roman" w:hAnsi="Times New Roman" w:cs="Times New Roman"/>
          <w:sz w:val="24"/>
          <w:szCs w:val="24"/>
          <w:lang w:val="en-US"/>
        </w:rPr>
        <w:t xml:space="preserve"> 97</w:t>
      </w:r>
      <w:r w:rsidRPr="004B38A9">
        <w:rPr>
          <w:rFonts w:ascii="Times New Roman" w:hAnsi="Times New Roman" w:cs="Times New Roman"/>
          <w:sz w:val="24"/>
          <w:szCs w:val="24"/>
        </w:rPr>
        <w:t>.</w:t>
      </w:r>
    </w:p>
  </w:footnote>
  <w:footnote w:id="52">
    <w:p w14:paraId="772CC1E5" w14:textId="77777777" w:rsidR="00843D22" w:rsidRPr="00843D22" w:rsidRDefault="00843D22" w:rsidP="00843D22">
      <w:pPr>
        <w:pStyle w:val="FootnoteText"/>
        <w:jc w:val="both"/>
        <w:rPr>
          <w:rFonts w:ascii="Times New Roman" w:hAnsi="Times New Roman" w:cs="Times New Roman"/>
          <w:lang w:val="en-US"/>
        </w:rPr>
      </w:pPr>
      <w:r w:rsidRPr="00843D22">
        <w:rPr>
          <w:rStyle w:val="FootnoteReference"/>
          <w:rFonts w:ascii="Times New Roman" w:hAnsi="Times New Roman" w:cs="Times New Roman"/>
          <w:sz w:val="24"/>
        </w:rPr>
        <w:footnoteRef/>
      </w:r>
      <w:r w:rsidRPr="00843D22">
        <w:rPr>
          <w:rFonts w:ascii="Times New Roman" w:hAnsi="Times New Roman" w:cs="Times New Roman"/>
          <w:sz w:val="24"/>
        </w:rPr>
        <w:t xml:space="preserve"> </w:t>
      </w:r>
      <w:proofErr w:type="spellStart"/>
      <w:r w:rsidRPr="00843D22">
        <w:rPr>
          <w:rFonts w:ascii="Times New Roman" w:hAnsi="Times New Roman" w:cs="Times New Roman"/>
          <w:sz w:val="24"/>
        </w:rPr>
        <w:t>Rogers</w:t>
      </w:r>
      <w:proofErr w:type="spellEnd"/>
      <w:r w:rsidRPr="00843D22">
        <w:rPr>
          <w:rFonts w:ascii="Times New Roman" w:hAnsi="Times New Roman" w:cs="Times New Roman"/>
          <w:sz w:val="24"/>
        </w:rPr>
        <w:t xml:space="preserve"> v. </w:t>
      </w:r>
      <w:proofErr w:type="spellStart"/>
      <w:r w:rsidRPr="00843D22">
        <w:rPr>
          <w:rFonts w:ascii="Times New Roman" w:hAnsi="Times New Roman" w:cs="Times New Roman"/>
          <w:sz w:val="24"/>
        </w:rPr>
        <w:t>Tennessee</w:t>
      </w:r>
      <w:proofErr w:type="spellEnd"/>
      <w:r w:rsidRPr="00843D22">
        <w:rPr>
          <w:rFonts w:ascii="Times New Roman" w:hAnsi="Times New Roman" w:cs="Times New Roman"/>
          <w:sz w:val="24"/>
        </w:rPr>
        <w:t xml:space="preserve">, 532 U.S. 451 (2001). URL: </w:t>
      </w:r>
      <w:hyperlink r:id="rId20" w:history="1">
        <w:r w:rsidRPr="00AB3815">
          <w:rPr>
            <w:rStyle w:val="Hyperlink"/>
            <w:rFonts w:ascii="Times New Roman" w:hAnsi="Times New Roman" w:cs="Times New Roman"/>
            <w:sz w:val="24"/>
          </w:rPr>
          <w:t>https://supreme.justia.com/cases/federal/us/532/451/</w:t>
        </w:r>
      </w:hyperlink>
      <w:r w:rsidRPr="00843D22">
        <w:rPr>
          <w:rFonts w:ascii="Times New Roman" w:hAnsi="Times New Roman" w:cs="Times New Roman"/>
          <w:sz w:val="24"/>
        </w:rPr>
        <w:t>.</w:t>
      </w:r>
      <w:r>
        <w:rPr>
          <w:rFonts w:ascii="Times New Roman" w:hAnsi="Times New Roman" w:cs="Times New Roman"/>
          <w:sz w:val="24"/>
          <w:lang w:val="en-US"/>
        </w:rPr>
        <w:t xml:space="preserve"> </w:t>
      </w:r>
    </w:p>
  </w:footnote>
  <w:footnote w:id="53">
    <w:p w14:paraId="0B175A9E" w14:textId="77777777" w:rsidR="00843D22" w:rsidRPr="00843D22" w:rsidRDefault="00843D22">
      <w:pPr>
        <w:pStyle w:val="FootnoteText"/>
        <w:rPr>
          <w:rFonts w:ascii="Times New Roman" w:hAnsi="Times New Roman" w:cs="Times New Roman"/>
          <w:sz w:val="24"/>
          <w:lang w:val="en-US"/>
        </w:rPr>
      </w:pPr>
      <w:r w:rsidRPr="00843D22">
        <w:rPr>
          <w:rStyle w:val="FootnoteReference"/>
          <w:rFonts w:ascii="Times New Roman" w:hAnsi="Times New Roman" w:cs="Times New Roman"/>
          <w:sz w:val="24"/>
        </w:rPr>
        <w:footnoteRef/>
      </w:r>
      <w:r w:rsidRPr="00843D22">
        <w:rPr>
          <w:rFonts w:ascii="Times New Roman" w:hAnsi="Times New Roman" w:cs="Times New Roman"/>
          <w:sz w:val="24"/>
        </w:rPr>
        <w:t xml:space="preserve"> </w:t>
      </w:r>
      <w:r w:rsidRPr="00843D22">
        <w:rPr>
          <w:rFonts w:ascii="Times New Roman" w:hAnsi="Times New Roman" w:cs="Times New Roman"/>
          <w:sz w:val="24"/>
          <w:lang w:val="en-US"/>
        </w:rPr>
        <w:t>Ibid.</w:t>
      </w:r>
    </w:p>
  </w:footnote>
  <w:footnote w:id="54">
    <w:p w14:paraId="19FC0C95" w14:textId="77777777" w:rsidR="00843D22" w:rsidRPr="00843D22" w:rsidRDefault="00843D22">
      <w:pPr>
        <w:pStyle w:val="FootnoteText"/>
        <w:rPr>
          <w:lang w:val="en-US"/>
        </w:rPr>
      </w:pPr>
      <w:r w:rsidRPr="00843D22">
        <w:rPr>
          <w:rStyle w:val="FootnoteReference"/>
          <w:rFonts w:ascii="Times New Roman" w:hAnsi="Times New Roman" w:cs="Times New Roman"/>
          <w:sz w:val="24"/>
        </w:rPr>
        <w:footnoteRef/>
      </w:r>
      <w:r w:rsidRPr="00843D22">
        <w:rPr>
          <w:rFonts w:ascii="Times New Roman" w:hAnsi="Times New Roman" w:cs="Times New Roman"/>
          <w:sz w:val="24"/>
        </w:rPr>
        <w:t xml:space="preserve"> </w:t>
      </w:r>
      <w:r w:rsidRPr="00843D22">
        <w:rPr>
          <w:rFonts w:ascii="Times New Roman" w:hAnsi="Times New Roman" w:cs="Times New Roman"/>
          <w:sz w:val="24"/>
          <w:lang w:val="en-US"/>
        </w:rPr>
        <w:t>Ibid.</w:t>
      </w:r>
    </w:p>
  </w:footnote>
  <w:footnote w:id="55">
    <w:p w14:paraId="757B77E8" w14:textId="77777777" w:rsidR="00843D22" w:rsidRPr="00843D22" w:rsidRDefault="00843D22" w:rsidP="00843D22">
      <w:pPr>
        <w:pStyle w:val="FootnoteText"/>
        <w:jc w:val="both"/>
        <w:rPr>
          <w:rFonts w:ascii="Times New Roman" w:hAnsi="Times New Roman" w:cs="Times New Roman"/>
          <w:sz w:val="24"/>
          <w:szCs w:val="24"/>
        </w:rPr>
      </w:pPr>
      <w:r w:rsidRPr="00843D22">
        <w:rPr>
          <w:rStyle w:val="FootnoteReference"/>
          <w:rFonts w:ascii="Times New Roman" w:hAnsi="Times New Roman" w:cs="Times New Roman"/>
          <w:sz w:val="24"/>
          <w:szCs w:val="24"/>
        </w:rPr>
        <w:footnoteRef/>
      </w:r>
      <w:r w:rsidRPr="00843D22">
        <w:rPr>
          <w:rFonts w:ascii="Times New Roman" w:hAnsi="Times New Roman" w:cs="Times New Roman"/>
          <w:sz w:val="24"/>
          <w:szCs w:val="24"/>
        </w:rPr>
        <w:t xml:space="preserve"> </w:t>
      </w:r>
      <w:proofErr w:type="spellStart"/>
      <w:r w:rsidRPr="00843D22">
        <w:rPr>
          <w:rFonts w:ascii="Times New Roman" w:hAnsi="Times New Roman" w:cs="Times New Roman"/>
          <w:sz w:val="24"/>
          <w:szCs w:val="24"/>
        </w:rPr>
        <w:t>Rogers</w:t>
      </w:r>
      <w:proofErr w:type="spellEnd"/>
      <w:r w:rsidRPr="00843D22">
        <w:rPr>
          <w:rFonts w:ascii="Times New Roman" w:hAnsi="Times New Roman" w:cs="Times New Roman"/>
          <w:sz w:val="24"/>
          <w:szCs w:val="24"/>
        </w:rPr>
        <w:t xml:space="preserve"> v. </w:t>
      </w:r>
      <w:proofErr w:type="spellStart"/>
      <w:r w:rsidRPr="00843D22">
        <w:rPr>
          <w:rFonts w:ascii="Times New Roman" w:hAnsi="Times New Roman" w:cs="Times New Roman"/>
          <w:sz w:val="24"/>
          <w:szCs w:val="24"/>
        </w:rPr>
        <w:t>Tennessee</w:t>
      </w:r>
      <w:proofErr w:type="spellEnd"/>
      <w:r w:rsidRPr="00843D22">
        <w:rPr>
          <w:rFonts w:ascii="Times New Roman" w:hAnsi="Times New Roman" w:cs="Times New Roman"/>
          <w:sz w:val="24"/>
          <w:szCs w:val="24"/>
        </w:rPr>
        <w:t xml:space="preserve">, 532 U.S. 451 (2001). URL: </w:t>
      </w:r>
      <w:hyperlink r:id="rId21" w:history="1">
        <w:r w:rsidRPr="00843D22">
          <w:rPr>
            <w:rStyle w:val="Hyperlink"/>
            <w:rFonts w:ascii="Times New Roman" w:hAnsi="Times New Roman" w:cs="Times New Roman"/>
            <w:sz w:val="24"/>
            <w:szCs w:val="24"/>
          </w:rPr>
          <w:t>https://supreme.justia.com/cases/federal/us/532/451/</w:t>
        </w:r>
      </w:hyperlink>
      <w:r w:rsidRPr="00843D22">
        <w:rPr>
          <w:rFonts w:ascii="Times New Roman" w:hAnsi="Times New Roman" w:cs="Times New Roman"/>
          <w:sz w:val="24"/>
          <w:szCs w:val="24"/>
        </w:rPr>
        <w:t>.</w:t>
      </w:r>
    </w:p>
  </w:footnote>
  <w:footnote w:id="56">
    <w:p w14:paraId="1CB3FFF0" w14:textId="77777777" w:rsidR="00843D22" w:rsidRPr="00843D22" w:rsidRDefault="00843D22">
      <w:pPr>
        <w:pStyle w:val="FootnoteText"/>
        <w:rPr>
          <w:rFonts w:ascii="Times New Roman" w:hAnsi="Times New Roman" w:cs="Times New Roman"/>
          <w:sz w:val="24"/>
          <w:szCs w:val="24"/>
          <w:lang w:val="en-US"/>
        </w:rPr>
      </w:pPr>
      <w:r w:rsidRPr="00843D22">
        <w:rPr>
          <w:rStyle w:val="FootnoteReference"/>
          <w:rFonts w:ascii="Times New Roman" w:hAnsi="Times New Roman" w:cs="Times New Roman"/>
          <w:sz w:val="24"/>
          <w:szCs w:val="24"/>
        </w:rPr>
        <w:footnoteRef/>
      </w:r>
      <w:r w:rsidRPr="00843D22">
        <w:rPr>
          <w:rFonts w:ascii="Times New Roman" w:hAnsi="Times New Roman" w:cs="Times New Roman"/>
          <w:sz w:val="24"/>
          <w:szCs w:val="24"/>
        </w:rPr>
        <w:t xml:space="preserve"> </w:t>
      </w:r>
      <w:r>
        <w:rPr>
          <w:rFonts w:ascii="Times New Roman" w:hAnsi="Times New Roman" w:cs="Times New Roman"/>
          <w:sz w:val="24"/>
          <w:szCs w:val="24"/>
          <w:lang w:val="en-US"/>
        </w:rPr>
        <w:t>Ibid.</w:t>
      </w:r>
    </w:p>
  </w:footnote>
  <w:footnote w:id="57">
    <w:p w14:paraId="406E4905" w14:textId="77777777" w:rsidR="00843D22" w:rsidRPr="00843D22" w:rsidRDefault="00843D22" w:rsidP="00843D22">
      <w:pPr>
        <w:pStyle w:val="FootnoteText"/>
        <w:jc w:val="both"/>
      </w:pPr>
      <w:r w:rsidRPr="00843D22">
        <w:rPr>
          <w:rStyle w:val="FootnoteReference"/>
          <w:rFonts w:ascii="Times New Roman" w:hAnsi="Times New Roman" w:cs="Times New Roman"/>
          <w:sz w:val="24"/>
          <w:szCs w:val="24"/>
        </w:rPr>
        <w:footnoteRef/>
      </w:r>
      <w:r w:rsidRPr="00843D22">
        <w:rPr>
          <w:rFonts w:ascii="Times New Roman" w:hAnsi="Times New Roman" w:cs="Times New Roman"/>
          <w:sz w:val="24"/>
          <w:szCs w:val="24"/>
        </w:rPr>
        <w:t xml:space="preserve"> </w:t>
      </w:r>
      <w:proofErr w:type="spellStart"/>
      <w:r w:rsidRPr="00843D22">
        <w:rPr>
          <w:rFonts w:ascii="Times New Roman" w:hAnsi="Times New Roman" w:cs="Times New Roman"/>
          <w:sz w:val="24"/>
          <w:szCs w:val="24"/>
        </w:rPr>
        <w:t>Rogers</w:t>
      </w:r>
      <w:proofErr w:type="spellEnd"/>
      <w:r w:rsidRPr="00843D22">
        <w:rPr>
          <w:rFonts w:ascii="Times New Roman" w:hAnsi="Times New Roman" w:cs="Times New Roman"/>
          <w:sz w:val="24"/>
          <w:szCs w:val="24"/>
        </w:rPr>
        <w:t xml:space="preserve"> v. </w:t>
      </w:r>
      <w:proofErr w:type="spellStart"/>
      <w:r w:rsidRPr="00843D22">
        <w:rPr>
          <w:rFonts w:ascii="Times New Roman" w:hAnsi="Times New Roman" w:cs="Times New Roman"/>
          <w:sz w:val="24"/>
          <w:szCs w:val="24"/>
        </w:rPr>
        <w:t>Tennessee</w:t>
      </w:r>
      <w:proofErr w:type="spellEnd"/>
      <w:r w:rsidRPr="00843D22">
        <w:rPr>
          <w:rFonts w:ascii="Times New Roman" w:hAnsi="Times New Roman" w:cs="Times New Roman"/>
          <w:sz w:val="24"/>
          <w:szCs w:val="24"/>
        </w:rPr>
        <w:t xml:space="preserve">, 532 U.S. 451 (2001). URL: </w:t>
      </w:r>
      <w:hyperlink r:id="rId22" w:history="1">
        <w:r w:rsidRPr="00843D22">
          <w:rPr>
            <w:rStyle w:val="Hyperlink"/>
            <w:rFonts w:ascii="Times New Roman" w:hAnsi="Times New Roman" w:cs="Times New Roman"/>
            <w:sz w:val="24"/>
            <w:szCs w:val="24"/>
          </w:rPr>
          <w:t>https://supreme.justia.com/cases/federal/us/532/451/</w:t>
        </w:r>
      </w:hyperlink>
      <w:r w:rsidRPr="00843D22">
        <w:rPr>
          <w:rFonts w:ascii="Times New Roman" w:hAnsi="Times New Roman" w:cs="Times New Roman"/>
          <w:sz w:val="24"/>
          <w:szCs w:val="24"/>
        </w:rPr>
        <w:t>.</w:t>
      </w:r>
    </w:p>
  </w:footnote>
  <w:footnote w:id="58">
    <w:p w14:paraId="61F40C72" w14:textId="77777777" w:rsidR="00960363" w:rsidRPr="004B38A9" w:rsidRDefault="00960363" w:rsidP="004B38A9">
      <w:pPr>
        <w:pStyle w:val="FootnoteText"/>
        <w:jc w:val="both"/>
        <w:rPr>
          <w:rFonts w:ascii="Times New Roman" w:hAnsi="Times New Roman" w:cs="Times New Roman"/>
          <w:sz w:val="24"/>
          <w:szCs w:val="24"/>
          <w:lang w:val="en-US"/>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Joris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Verbeek</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Legality</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international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criminal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law</w:t>
      </w:r>
      <w:proofErr w:type="spellEnd"/>
      <w:r w:rsidRPr="004B38A9">
        <w:rPr>
          <w:rFonts w:ascii="Times New Roman" w:hAnsi="Times New Roman" w:cs="Times New Roman"/>
          <w:sz w:val="24"/>
          <w:szCs w:val="24"/>
        </w:rPr>
        <w:t xml:space="preserve">; a </w:t>
      </w:r>
      <w:proofErr w:type="spellStart"/>
      <w:r w:rsidRPr="004B38A9">
        <w:rPr>
          <w:rFonts w:ascii="Times New Roman" w:hAnsi="Times New Roman" w:cs="Times New Roman"/>
          <w:sz w:val="24"/>
          <w:szCs w:val="24"/>
        </w:rPr>
        <w:t>human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rights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standard</w:t>
      </w:r>
      <w:proofErr w:type="spellEnd"/>
      <w:r w:rsidRPr="004B38A9">
        <w:rPr>
          <w:rFonts w:ascii="Times New Roman" w:hAnsi="Times New Roman" w:cs="Times New Roman"/>
          <w:sz w:val="24"/>
          <w:szCs w:val="24"/>
        </w:rPr>
        <w:t>? (</w:t>
      </w:r>
      <w:proofErr w:type="spellStart"/>
      <w:r w:rsidRPr="004B38A9">
        <w:rPr>
          <w:rFonts w:ascii="Times New Roman" w:hAnsi="Times New Roman" w:cs="Times New Roman"/>
          <w:sz w:val="24"/>
          <w:szCs w:val="24"/>
        </w:rPr>
        <w:t>Lunds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universitet</w:t>
      </w:r>
      <w:proofErr w:type="spellEnd"/>
      <w:r w:rsidRPr="004B38A9">
        <w:rPr>
          <w:rFonts w:ascii="Times New Roman" w:hAnsi="Times New Roman" w:cs="Times New Roman"/>
          <w:sz w:val="24"/>
          <w:szCs w:val="24"/>
        </w:rPr>
        <w:t>/</w:t>
      </w:r>
      <w:proofErr w:type="spellStart"/>
      <w:r w:rsidRPr="004B38A9">
        <w:rPr>
          <w:rFonts w:ascii="Times New Roman" w:hAnsi="Times New Roman" w:cs="Times New Roman"/>
          <w:sz w:val="24"/>
          <w:szCs w:val="24"/>
        </w:rPr>
        <w:t>Juridiska</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institutionen</w:t>
      </w:r>
      <w:proofErr w:type="spellEnd"/>
      <w:r w:rsidRPr="004B38A9">
        <w:rPr>
          <w:rFonts w:ascii="Times New Roman" w:hAnsi="Times New Roman" w:cs="Times New Roman"/>
          <w:sz w:val="24"/>
          <w:szCs w:val="24"/>
        </w:rPr>
        <w:t>, 2005), 49.</w:t>
      </w:r>
    </w:p>
  </w:footnote>
  <w:footnote w:id="59">
    <w:p w14:paraId="6A8E6421" w14:textId="77777777" w:rsidR="00960363" w:rsidRPr="004B38A9" w:rsidRDefault="00960363" w:rsidP="004B38A9">
      <w:pPr>
        <w:pStyle w:val="FootnoteText"/>
        <w:jc w:val="both"/>
        <w:rPr>
          <w:rFonts w:ascii="Times New Roman" w:hAnsi="Times New Roman" w:cs="Times New Roman"/>
          <w:sz w:val="24"/>
          <w:szCs w:val="24"/>
          <w:lang w:val="en-US"/>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Joris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Verbeek</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Legality</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international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criminal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law</w:t>
      </w:r>
      <w:proofErr w:type="spellEnd"/>
      <w:r w:rsidRPr="004B38A9">
        <w:rPr>
          <w:rFonts w:ascii="Times New Roman" w:hAnsi="Times New Roman" w:cs="Times New Roman"/>
          <w:sz w:val="24"/>
          <w:szCs w:val="24"/>
        </w:rPr>
        <w:t xml:space="preserve">; a </w:t>
      </w:r>
      <w:proofErr w:type="spellStart"/>
      <w:r w:rsidRPr="004B38A9">
        <w:rPr>
          <w:rFonts w:ascii="Times New Roman" w:hAnsi="Times New Roman" w:cs="Times New Roman"/>
          <w:sz w:val="24"/>
          <w:szCs w:val="24"/>
        </w:rPr>
        <w:t>human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rights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standard</w:t>
      </w:r>
      <w:proofErr w:type="spellEnd"/>
      <w:r w:rsidRPr="004B38A9">
        <w:rPr>
          <w:rFonts w:ascii="Times New Roman" w:hAnsi="Times New Roman" w:cs="Times New Roman"/>
          <w:sz w:val="24"/>
          <w:szCs w:val="24"/>
        </w:rPr>
        <w:t>? (</w:t>
      </w:r>
      <w:proofErr w:type="spellStart"/>
      <w:r w:rsidRPr="004B38A9">
        <w:rPr>
          <w:rFonts w:ascii="Times New Roman" w:hAnsi="Times New Roman" w:cs="Times New Roman"/>
          <w:sz w:val="24"/>
          <w:szCs w:val="24"/>
        </w:rPr>
        <w:t>Lunds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universitet</w:t>
      </w:r>
      <w:proofErr w:type="spellEnd"/>
      <w:r w:rsidRPr="004B38A9">
        <w:rPr>
          <w:rFonts w:ascii="Times New Roman" w:hAnsi="Times New Roman" w:cs="Times New Roman"/>
          <w:sz w:val="24"/>
          <w:szCs w:val="24"/>
        </w:rPr>
        <w:t>/</w:t>
      </w:r>
      <w:proofErr w:type="spellStart"/>
      <w:r w:rsidRPr="004B38A9">
        <w:rPr>
          <w:rFonts w:ascii="Times New Roman" w:hAnsi="Times New Roman" w:cs="Times New Roman"/>
          <w:sz w:val="24"/>
          <w:szCs w:val="24"/>
        </w:rPr>
        <w:t>Juridiska</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institutionen</w:t>
      </w:r>
      <w:proofErr w:type="spellEnd"/>
      <w:r w:rsidRPr="004B38A9">
        <w:rPr>
          <w:rFonts w:ascii="Times New Roman" w:hAnsi="Times New Roman" w:cs="Times New Roman"/>
          <w:sz w:val="24"/>
          <w:szCs w:val="24"/>
        </w:rPr>
        <w:t>, 2005), 49.</w:t>
      </w:r>
    </w:p>
  </w:footnote>
  <w:footnote w:id="60">
    <w:p w14:paraId="73A42359"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r w:rsidRPr="004B38A9">
        <w:rPr>
          <w:rFonts w:ascii="Times New Roman" w:hAnsi="Times New Roman" w:cs="Times New Roman"/>
          <w:sz w:val="24"/>
          <w:szCs w:val="24"/>
          <w:lang w:val="en-US"/>
        </w:rPr>
        <w:t>Ibid</w:t>
      </w:r>
      <w:r w:rsidRPr="004B38A9">
        <w:rPr>
          <w:rFonts w:ascii="Times New Roman" w:hAnsi="Times New Roman" w:cs="Times New Roman"/>
          <w:sz w:val="24"/>
          <w:szCs w:val="24"/>
        </w:rPr>
        <w:t>, 50.</w:t>
      </w:r>
    </w:p>
  </w:footnote>
  <w:footnote w:id="61">
    <w:p w14:paraId="7AECF39B"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r w:rsidRPr="004B38A9">
        <w:rPr>
          <w:rFonts w:ascii="Times New Roman" w:hAnsi="Times New Roman" w:cs="Times New Roman"/>
          <w:sz w:val="24"/>
          <w:szCs w:val="24"/>
          <w:lang w:val="en-US"/>
        </w:rPr>
        <w:t>Ibid</w:t>
      </w:r>
      <w:r w:rsidRPr="004B38A9">
        <w:rPr>
          <w:rFonts w:ascii="Times New Roman" w:hAnsi="Times New Roman" w:cs="Times New Roman"/>
          <w:sz w:val="24"/>
          <w:szCs w:val="24"/>
        </w:rPr>
        <w:t>.</w:t>
      </w:r>
    </w:p>
  </w:footnote>
  <w:footnote w:id="62">
    <w:p w14:paraId="6F4A7F43" w14:textId="77777777" w:rsidR="00960363" w:rsidRPr="004B38A9" w:rsidRDefault="00960363" w:rsidP="004B38A9">
      <w:pPr>
        <w:pStyle w:val="FootnoteText"/>
        <w:jc w:val="both"/>
        <w:rPr>
          <w:rFonts w:ascii="Times New Roman" w:hAnsi="Times New Roman" w:cs="Times New Roman"/>
          <w:sz w:val="24"/>
          <w:szCs w:val="24"/>
          <w:lang w:val="en-US"/>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DFR - </w:t>
      </w:r>
      <w:proofErr w:type="spellStart"/>
      <w:r w:rsidRPr="004B38A9">
        <w:rPr>
          <w:rFonts w:ascii="Times New Roman" w:hAnsi="Times New Roman" w:cs="Times New Roman"/>
          <w:sz w:val="24"/>
          <w:szCs w:val="24"/>
        </w:rPr>
        <w:t>BVerfGE</w:t>
      </w:r>
      <w:proofErr w:type="spellEnd"/>
      <w:r w:rsidRPr="004B38A9">
        <w:rPr>
          <w:rFonts w:ascii="Times New Roman" w:hAnsi="Times New Roman" w:cs="Times New Roman"/>
          <w:sz w:val="24"/>
          <w:szCs w:val="24"/>
        </w:rPr>
        <w:t xml:space="preserve"> 95, 96 - </w:t>
      </w:r>
      <w:proofErr w:type="spellStart"/>
      <w:r w:rsidRPr="004B38A9">
        <w:rPr>
          <w:rFonts w:ascii="Times New Roman" w:hAnsi="Times New Roman" w:cs="Times New Roman"/>
          <w:sz w:val="24"/>
          <w:szCs w:val="24"/>
        </w:rPr>
        <w:t>Mauerschützen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Internetprojekte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Prof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Dr</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Axel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Tschentscher</w:t>
      </w:r>
      <w:proofErr w:type="spellEnd"/>
      <w:r w:rsidRPr="004B38A9">
        <w:rPr>
          <w:rFonts w:ascii="Times New Roman" w:hAnsi="Times New Roman" w:cs="Times New Roman"/>
          <w:sz w:val="24"/>
          <w:szCs w:val="24"/>
        </w:rPr>
        <w:t xml:space="preserve">, LL.M., M.A. URL: </w:t>
      </w:r>
      <w:hyperlink r:id="rId23" w:history="1">
        <w:r w:rsidRPr="004B38A9">
          <w:rPr>
            <w:rStyle w:val="Hyperlink"/>
            <w:rFonts w:ascii="Times New Roman" w:hAnsi="Times New Roman" w:cs="Times New Roman"/>
            <w:sz w:val="24"/>
            <w:szCs w:val="24"/>
          </w:rPr>
          <w:t>https://www.servat.unibe.ch/dfr/bv095096.html</w:t>
        </w:r>
      </w:hyperlink>
      <w:r w:rsidRPr="004B38A9">
        <w:rPr>
          <w:rFonts w:ascii="Times New Roman" w:hAnsi="Times New Roman" w:cs="Times New Roman"/>
          <w:sz w:val="24"/>
          <w:szCs w:val="24"/>
        </w:rPr>
        <w:t>.</w:t>
      </w:r>
      <w:r w:rsidRPr="004B38A9">
        <w:rPr>
          <w:rFonts w:ascii="Times New Roman" w:hAnsi="Times New Roman" w:cs="Times New Roman"/>
          <w:sz w:val="24"/>
          <w:szCs w:val="24"/>
          <w:lang w:val="en-US"/>
        </w:rPr>
        <w:t xml:space="preserve"> </w:t>
      </w:r>
    </w:p>
  </w:footnote>
  <w:footnote w:id="63">
    <w:p w14:paraId="18011438" w14:textId="77777777" w:rsidR="00960363" w:rsidRPr="004B38A9" w:rsidRDefault="00960363" w:rsidP="00446278">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DFR - </w:t>
      </w:r>
      <w:proofErr w:type="spellStart"/>
      <w:r w:rsidRPr="004B38A9">
        <w:rPr>
          <w:rFonts w:ascii="Times New Roman" w:hAnsi="Times New Roman" w:cs="Times New Roman"/>
          <w:sz w:val="24"/>
          <w:szCs w:val="24"/>
        </w:rPr>
        <w:t>BVerfGE</w:t>
      </w:r>
      <w:proofErr w:type="spellEnd"/>
      <w:r w:rsidRPr="004B38A9">
        <w:rPr>
          <w:rFonts w:ascii="Times New Roman" w:hAnsi="Times New Roman" w:cs="Times New Roman"/>
          <w:sz w:val="24"/>
          <w:szCs w:val="24"/>
        </w:rPr>
        <w:t xml:space="preserve"> 95, 96 - </w:t>
      </w:r>
      <w:proofErr w:type="spellStart"/>
      <w:r w:rsidRPr="004B38A9">
        <w:rPr>
          <w:rFonts w:ascii="Times New Roman" w:hAnsi="Times New Roman" w:cs="Times New Roman"/>
          <w:sz w:val="24"/>
          <w:szCs w:val="24"/>
        </w:rPr>
        <w:t>Mauerschützen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Internetprojekte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Prof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Dr</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Axel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Tschentscher</w:t>
      </w:r>
      <w:proofErr w:type="spellEnd"/>
      <w:r w:rsidRPr="004B38A9">
        <w:rPr>
          <w:rFonts w:ascii="Times New Roman" w:hAnsi="Times New Roman" w:cs="Times New Roman"/>
          <w:sz w:val="24"/>
          <w:szCs w:val="24"/>
        </w:rPr>
        <w:t xml:space="preserve">, LL.M., M.A. URL: </w:t>
      </w:r>
      <w:hyperlink r:id="rId24" w:history="1">
        <w:r w:rsidRPr="004B38A9">
          <w:rPr>
            <w:rStyle w:val="Hyperlink"/>
            <w:rFonts w:ascii="Times New Roman" w:hAnsi="Times New Roman" w:cs="Times New Roman"/>
            <w:sz w:val="24"/>
            <w:szCs w:val="24"/>
          </w:rPr>
          <w:t>https://www.servat.unibe.ch/dfr/bv095096.html</w:t>
        </w:r>
      </w:hyperlink>
      <w:r w:rsidRPr="004B38A9">
        <w:rPr>
          <w:rFonts w:ascii="Times New Roman" w:hAnsi="Times New Roman" w:cs="Times New Roman"/>
          <w:sz w:val="24"/>
          <w:szCs w:val="24"/>
        </w:rPr>
        <w:t>.</w:t>
      </w:r>
    </w:p>
  </w:footnote>
  <w:footnote w:id="64">
    <w:p w14:paraId="7C716AF4"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r>
        <w:rPr>
          <w:rFonts w:ascii="Times New Roman" w:hAnsi="Times New Roman" w:cs="Times New Roman"/>
          <w:sz w:val="24"/>
          <w:szCs w:val="24"/>
          <w:lang w:val="en-US"/>
        </w:rPr>
        <w:t>Ibid</w:t>
      </w:r>
      <w:r w:rsidRPr="004B38A9">
        <w:rPr>
          <w:rFonts w:ascii="Times New Roman" w:hAnsi="Times New Roman" w:cs="Times New Roman"/>
          <w:sz w:val="24"/>
          <w:szCs w:val="24"/>
        </w:rPr>
        <w:t>.</w:t>
      </w:r>
    </w:p>
  </w:footnote>
  <w:footnote w:id="65">
    <w:p w14:paraId="2620FED7" w14:textId="77777777" w:rsidR="00960363" w:rsidRPr="004B38A9" w:rsidRDefault="00960363" w:rsidP="004B38A9">
      <w:pPr>
        <w:pStyle w:val="FootnoteText"/>
        <w:jc w:val="both"/>
        <w:rPr>
          <w:rFonts w:ascii="Times New Roman" w:hAnsi="Times New Roman" w:cs="Times New Roman"/>
          <w:sz w:val="24"/>
          <w:szCs w:val="24"/>
          <w:lang w:val="ru-RU"/>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Streletz</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Kessler</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and</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Krenz</w:t>
      </w:r>
      <w:proofErr w:type="spellEnd"/>
      <w:r w:rsidRPr="004B38A9">
        <w:rPr>
          <w:rFonts w:ascii="Times New Roman" w:hAnsi="Times New Roman" w:cs="Times New Roman"/>
          <w:sz w:val="24"/>
          <w:szCs w:val="24"/>
        </w:rPr>
        <w:t xml:space="preserve"> v. </w:t>
      </w:r>
      <w:proofErr w:type="spellStart"/>
      <w:r w:rsidRPr="004B38A9">
        <w:rPr>
          <w:rFonts w:ascii="Times New Roman" w:hAnsi="Times New Roman" w:cs="Times New Roman"/>
          <w:sz w:val="24"/>
          <w:szCs w:val="24"/>
        </w:rPr>
        <w:t>Germany</w:t>
      </w:r>
      <w:proofErr w:type="spellEnd"/>
      <w:r w:rsidRPr="004B38A9">
        <w:rPr>
          <w:rFonts w:ascii="Times New Roman" w:hAnsi="Times New Roman" w:cs="Times New Roman"/>
          <w:sz w:val="24"/>
          <w:szCs w:val="24"/>
        </w:rPr>
        <w:t xml:space="preserve">. HUDOC - </w:t>
      </w:r>
      <w:proofErr w:type="spellStart"/>
      <w:r w:rsidRPr="004B38A9">
        <w:rPr>
          <w:rFonts w:ascii="Times New Roman" w:hAnsi="Times New Roman" w:cs="Times New Roman"/>
          <w:sz w:val="24"/>
          <w:szCs w:val="24"/>
        </w:rPr>
        <w:t>European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Court</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Human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Rights</w:t>
      </w:r>
      <w:proofErr w:type="spellEnd"/>
      <w:r w:rsidRPr="004B38A9">
        <w:rPr>
          <w:rFonts w:ascii="Times New Roman" w:hAnsi="Times New Roman" w:cs="Times New Roman"/>
          <w:sz w:val="24"/>
          <w:szCs w:val="24"/>
        </w:rPr>
        <w:t xml:space="preserve">. </w:t>
      </w:r>
      <w:hyperlink r:id="rId25" w:anchor="%7B&quot;itemid&quot;:[&quot;002-7100&quot;]%7D" w:history="1">
        <w:r w:rsidRPr="004B38A9">
          <w:rPr>
            <w:rStyle w:val="Hyperlink"/>
            <w:rFonts w:ascii="Times New Roman" w:hAnsi="Times New Roman" w:cs="Times New Roman"/>
            <w:sz w:val="24"/>
            <w:szCs w:val="24"/>
          </w:rPr>
          <w:t>https://hudoc.echr.coe.int/fre#%7B"itemid":["002-7100"]%7D</w:t>
        </w:r>
      </w:hyperlink>
      <w:r w:rsidRPr="004B38A9">
        <w:rPr>
          <w:rFonts w:ascii="Times New Roman" w:hAnsi="Times New Roman" w:cs="Times New Roman"/>
          <w:sz w:val="24"/>
          <w:szCs w:val="24"/>
        </w:rPr>
        <w:t>.</w:t>
      </w:r>
      <w:r w:rsidRPr="004B38A9">
        <w:rPr>
          <w:rFonts w:ascii="Times New Roman" w:hAnsi="Times New Roman" w:cs="Times New Roman"/>
          <w:sz w:val="24"/>
          <w:szCs w:val="24"/>
          <w:lang w:val="ru-RU"/>
        </w:rPr>
        <w:t xml:space="preserve"> </w:t>
      </w:r>
    </w:p>
  </w:footnote>
  <w:footnote w:id="66">
    <w:p w14:paraId="5ADD3CAB"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С. В. </w:t>
      </w:r>
      <w:proofErr w:type="spellStart"/>
      <w:r w:rsidRPr="004B38A9">
        <w:rPr>
          <w:rFonts w:ascii="Times New Roman" w:hAnsi="Times New Roman" w:cs="Times New Roman"/>
          <w:sz w:val="24"/>
          <w:szCs w:val="24"/>
        </w:rPr>
        <w:t>Хилюк</w:t>
      </w:r>
      <w:proofErr w:type="spellEnd"/>
      <w:r w:rsidRPr="004B38A9">
        <w:rPr>
          <w:rFonts w:ascii="Times New Roman" w:hAnsi="Times New Roman" w:cs="Times New Roman"/>
          <w:sz w:val="24"/>
          <w:szCs w:val="24"/>
        </w:rPr>
        <w:t>, «</w:t>
      </w:r>
      <w:proofErr w:type="spellStart"/>
      <w:r w:rsidRPr="004B38A9">
        <w:rPr>
          <w:rFonts w:ascii="Times New Roman" w:hAnsi="Times New Roman" w:cs="Times New Roman"/>
          <w:sz w:val="24"/>
          <w:szCs w:val="24"/>
        </w:rPr>
        <w:t>Lex</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stricta</w:t>
      </w:r>
      <w:proofErr w:type="spellEnd"/>
      <w:r w:rsidRPr="004B38A9">
        <w:rPr>
          <w:rFonts w:ascii="Times New Roman" w:hAnsi="Times New Roman" w:cs="Times New Roman"/>
          <w:sz w:val="24"/>
          <w:szCs w:val="24"/>
        </w:rPr>
        <w:t xml:space="preserve"> як складова принципу законності у кримінальному праві в інтерпретації Європейського суду з прав людини, Часопис Академії адвокатури України», Т. 7, № 3 (2014): 99.</w:t>
      </w:r>
    </w:p>
  </w:footnote>
  <w:footnote w:id="67">
    <w:p w14:paraId="746D5FA8"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С. В. </w:t>
      </w:r>
      <w:proofErr w:type="spellStart"/>
      <w:r w:rsidRPr="004B38A9">
        <w:rPr>
          <w:rFonts w:ascii="Times New Roman" w:hAnsi="Times New Roman" w:cs="Times New Roman"/>
          <w:sz w:val="24"/>
          <w:szCs w:val="24"/>
        </w:rPr>
        <w:t>Хилюк</w:t>
      </w:r>
      <w:proofErr w:type="spellEnd"/>
      <w:r w:rsidRPr="004B38A9">
        <w:rPr>
          <w:rFonts w:ascii="Times New Roman" w:hAnsi="Times New Roman" w:cs="Times New Roman"/>
          <w:sz w:val="24"/>
          <w:szCs w:val="24"/>
        </w:rPr>
        <w:t>, «</w:t>
      </w:r>
      <w:proofErr w:type="spellStart"/>
      <w:r w:rsidRPr="004B38A9">
        <w:rPr>
          <w:rFonts w:ascii="Times New Roman" w:hAnsi="Times New Roman" w:cs="Times New Roman"/>
          <w:sz w:val="24"/>
          <w:szCs w:val="24"/>
        </w:rPr>
        <w:t>Lex</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stricta</w:t>
      </w:r>
      <w:proofErr w:type="spellEnd"/>
      <w:r w:rsidRPr="004B38A9">
        <w:rPr>
          <w:rFonts w:ascii="Times New Roman" w:hAnsi="Times New Roman" w:cs="Times New Roman"/>
          <w:sz w:val="24"/>
          <w:szCs w:val="24"/>
        </w:rPr>
        <w:t xml:space="preserve"> як складова принципу законності у кримінальному праві в інтерпретації Європейського суду з прав людини, Часопис Академії адвокатури України», Т. 7, № 3 (2014): 99.</w:t>
      </w:r>
    </w:p>
  </w:footnote>
  <w:footnote w:id="68">
    <w:p w14:paraId="22FBB3AF"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r>
        <w:rPr>
          <w:rFonts w:ascii="Times New Roman" w:hAnsi="Times New Roman" w:cs="Times New Roman"/>
          <w:sz w:val="24"/>
          <w:szCs w:val="24"/>
        </w:rPr>
        <w:t>Там само.</w:t>
      </w:r>
    </w:p>
  </w:footnote>
  <w:footnote w:id="69">
    <w:p w14:paraId="2D28F999" w14:textId="77777777" w:rsidR="00960363" w:rsidRPr="004B38A9" w:rsidRDefault="00960363" w:rsidP="004B38A9">
      <w:pPr>
        <w:pStyle w:val="FootnoteText"/>
        <w:jc w:val="both"/>
        <w:rPr>
          <w:rFonts w:ascii="Times New Roman" w:hAnsi="Times New Roman" w:cs="Times New Roman"/>
          <w:sz w:val="24"/>
          <w:szCs w:val="24"/>
          <w:lang w:val="en-US"/>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Briain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Jansen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Dworkin’s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Rights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Conception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the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Rule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Law</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Criminal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Law</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Netherlands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Journal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Legal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Philosophy</w:t>
      </w:r>
      <w:proofErr w:type="spellEnd"/>
      <w:r w:rsidRPr="004B38A9">
        <w:rPr>
          <w:rFonts w:ascii="Times New Roman" w:hAnsi="Times New Roman" w:cs="Times New Roman"/>
          <w:sz w:val="24"/>
          <w:szCs w:val="24"/>
        </w:rPr>
        <w:t xml:space="preserve"> 46, № 2 (2017). </w:t>
      </w:r>
      <w:hyperlink r:id="rId26" w:history="1">
        <w:r w:rsidRPr="004B38A9">
          <w:rPr>
            <w:rStyle w:val="Hyperlink"/>
            <w:rFonts w:ascii="Times New Roman" w:hAnsi="Times New Roman" w:cs="Times New Roman"/>
            <w:sz w:val="24"/>
            <w:szCs w:val="24"/>
          </w:rPr>
          <w:t>https://doi.org/10.5553/njlp/221307132017046002004</w:t>
        </w:r>
      </w:hyperlink>
      <w:r w:rsidRPr="004B38A9">
        <w:rPr>
          <w:rFonts w:ascii="Times New Roman" w:hAnsi="Times New Roman" w:cs="Times New Roman"/>
          <w:sz w:val="24"/>
          <w:szCs w:val="24"/>
        </w:rPr>
        <w:t>.</w:t>
      </w:r>
      <w:r w:rsidRPr="004B38A9">
        <w:rPr>
          <w:rFonts w:ascii="Times New Roman" w:hAnsi="Times New Roman" w:cs="Times New Roman"/>
          <w:sz w:val="24"/>
          <w:szCs w:val="24"/>
          <w:lang w:val="en-US"/>
        </w:rPr>
        <w:t xml:space="preserve"> </w:t>
      </w:r>
    </w:p>
  </w:footnote>
  <w:footnote w:id="70">
    <w:p w14:paraId="17FC1ED4"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r w:rsidRPr="004B38A9">
        <w:rPr>
          <w:rFonts w:ascii="Times New Roman" w:hAnsi="Times New Roman" w:cs="Times New Roman"/>
          <w:sz w:val="24"/>
          <w:szCs w:val="24"/>
          <w:lang w:val="en-US"/>
        </w:rPr>
        <w:t>Ibid</w:t>
      </w:r>
      <w:r w:rsidRPr="004B38A9">
        <w:rPr>
          <w:rFonts w:ascii="Times New Roman" w:hAnsi="Times New Roman" w:cs="Times New Roman"/>
          <w:sz w:val="24"/>
          <w:szCs w:val="24"/>
        </w:rPr>
        <w:t>.</w:t>
      </w:r>
    </w:p>
  </w:footnote>
  <w:footnote w:id="71">
    <w:p w14:paraId="3E375FFE" w14:textId="77777777" w:rsidR="00960363" w:rsidRPr="004B38A9" w:rsidRDefault="00960363" w:rsidP="00446278">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Briain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Jansen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Dworkin’s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Rights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Conception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the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Rule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Law</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Criminal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Law</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Netherlands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Journal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Legal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Philosophy</w:t>
      </w:r>
      <w:proofErr w:type="spellEnd"/>
      <w:r w:rsidRPr="004B38A9">
        <w:rPr>
          <w:rFonts w:ascii="Times New Roman" w:hAnsi="Times New Roman" w:cs="Times New Roman"/>
          <w:sz w:val="24"/>
          <w:szCs w:val="24"/>
        </w:rPr>
        <w:t xml:space="preserve"> 46, № 2 (2017). </w:t>
      </w:r>
      <w:hyperlink r:id="rId27" w:history="1">
        <w:r w:rsidRPr="004B38A9">
          <w:rPr>
            <w:rStyle w:val="Hyperlink"/>
            <w:rFonts w:ascii="Times New Roman" w:hAnsi="Times New Roman" w:cs="Times New Roman"/>
            <w:sz w:val="24"/>
            <w:szCs w:val="24"/>
          </w:rPr>
          <w:t>https://doi.org/10.5553/njlp/221307132017046002004</w:t>
        </w:r>
      </w:hyperlink>
      <w:r w:rsidRPr="004B38A9">
        <w:rPr>
          <w:rFonts w:ascii="Times New Roman" w:hAnsi="Times New Roman" w:cs="Times New Roman"/>
          <w:sz w:val="24"/>
          <w:szCs w:val="24"/>
        </w:rPr>
        <w:t>.</w:t>
      </w:r>
    </w:p>
  </w:footnote>
  <w:footnote w:id="72">
    <w:p w14:paraId="6D6A56DB"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r w:rsidRPr="004B38A9">
        <w:rPr>
          <w:rFonts w:ascii="Times New Roman" w:hAnsi="Times New Roman" w:cs="Times New Roman"/>
          <w:sz w:val="24"/>
          <w:szCs w:val="24"/>
          <w:lang w:val="en-US"/>
        </w:rPr>
        <w:t>Ibid</w:t>
      </w:r>
      <w:r w:rsidRPr="004B38A9">
        <w:rPr>
          <w:rFonts w:ascii="Times New Roman" w:hAnsi="Times New Roman" w:cs="Times New Roman"/>
          <w:sz w:val="24"/>
          <w:szCs w:val="24"/>
        </w:rPr>
        <w:t>.</w:t>
      </w:r>
    </w:p>
  </w:footnote>
  <w:footnote w:id="73">
    <w:p w14:paraId="2393099E" w14:textId="77777777" w:rsidR="00960363" w:rsidRPr="004B38A9" w:rsidRDefault="00960363" w:rsidP="004B38A9">
      <w:pPr>
        <w:pStyle w:val="FootnoteText"/>
        <w:jc w:val="both"/>
        <w:rPr>
          <w:rFonts w:ascii="Times New Roman" w:hAnsi="Times New Roman" w:cs="Times New Roman"/>
          <w:sz w:val="24"/>
          <w:szCs w:val="24"/>
          <w:lang w:val="en-US"/>
        </w:rPr>
      </w:pPr>
      <w:r w:rsidRPr="004B38A9">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4B38A9">
        <w:rPr>
          <w:rFonts w:ascii="Times New Roman" w:hAnsi="Times New Roman" w:cs="Times New Roman"/>
          <w:sz w:val="24"/>
          <w:szCs w:val="24"/>
          <w:lang w:val="en-US"/>
        </w:rPr>
        <w:t>Ibid</w:t>
      </w:r>
      <w:r w:rsidRPr="004B38A9">
        <w:rPr>
          <w:rFonts w:ascii="Times New Roman" w:hAnsi="Times New Roman" w:cs="Times New Roman"/>
          <w:sz w:val="24"/>
          <w:szCs w:val="24"/>
        </w:rPr>
        <w:t>.</w:t>
      </w:r>
    </w:p>
  </w:footnote>
  <w:footnote w:id="74">
    <w:p w14:paraId="5AE4C831" w14:textId="77777777" w:rsidR="00960363" w:rsidRPr="004B38A9" w:rsidRDefault="00960363" w:rsidP="004B38A9">
      <w:pPr>
        <w:pStyle w:val="FootnoteText"/>
        <w:jc w:val="both"/>
        <w:rPr>
          <w:rFonts w:ascii="Times New Roman" w:hAnsi="Times New Roman" w:cs="Times New Roman"/>
          <w:sz w:val="24"/>
          <w:szCs w:val="24"/>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Fletcher</w:t>
      </w:r>
      <w:proofErr w:type="spellEnd"/>
      <w:r w:rsidRPr="004B38A9">
        <w:rPr>
          <w:rFonts w:ascii="Times New Roman" w:hAnsi="Times New Roman" w:cs="Times New Roman"/>
          <w:sz w:val="24"/>
          <w:szCs w:val="24"/>
        </w:rPr>
        <w:t xml:space="preserve"> G. P., </w:t>
      </w:r>
      <w:proofErr w:type="spellStart"/>
      <w:r w:rsidRPr="004B38A9">
        <w:rPr>
          <w:rFonts w:ascii="Times New Roman" w:hAnsi="Times New Roman" w:cs="Times New Roman"/>
          <w:sz w:val="24"/>
          <w:szCs w:val="24"/>
        </w:rPr>
        <w:t>Basic</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Concepts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Criminal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Law</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Oxford</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University</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Press</w:t>
      </w:r>
      <w:proofErr w:type="spellEnd"/>
      <w:r w:rsidRPr="004B38A9">
        <w:rPr>
          <w:rFonts w:ascii="Times New Roman" w:hAnsi="Times New Roman" w:cs="Times New Roman"/>
          <w:sz w:val="24"/>
          <w:szCs w:val="24"/>
        </w:rPr>
        <w:t>, 1998), 207.</w:t>
      </w:r>
    </w:p>
  </w:footnote>
  <w:footnote w:id="75">
    <w:p w14:paraId="15E0D8D2" w14:textId="77777777" w:rsidR="00960363" w:rsidRPr="004B38A9" w:rsidRDefault="00960363" w:rsidP="004B38A9">
      <w:pPr>
        <w:pStyle w:val="FootnoteText"/>
        <w:jc w:val="both"/>
        <w:rPr>
          <w:rFonts w:ascii="Times New Roman" w:hAnsi="Times New Roman" w:cs="Times New Roman"/>
          <w:sz w:val="24"/>
          <w:szCs w:val="24"/>
          <w:lang w:val="en-US"/>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r w:rsidRPr="004B38A9">
        <w:rPr>
          <w:rFonts w:ascii="Times New Roman" w:hAnsi="Times New Roman" w:cs="Times New Roman"/>
          <w:sz w:val="24"/>
          <w:szCs w:val="24"/>
          <w:lang w:val="en-US"/>
        </w:rPr>
        <w:t>Ibid</w:t>
      </w:r>
      <w:r w:rsidRPr="004B38A9">
        <w:rPr>
          <w:rFonts w:ascii="Times New Roman" w:hAnsi="Times New Roman" w:cs="Times New Roman"/>
          <w:sz w:val="24"/>
          <w:szCs w:val="24"/>
        </w:rPr>
        <w:t>, 208.</w:t>
      </w:r>
    </w:p>
  </w:footnote>
  <w:footnote w:id="76">
    <w:p w14:paraId="6DEA9BAC" w14:textId="77777777" w:rsidR="00960363" w:rsidRPr="00D661B8" w:rsidRDefault="00960363" w:rsidP="004B38A9">
      <w:pPr>
        <w:pStyle w:val="FootnoteText"/>
        <w:jc w:val="both"/>
        <w:rPr>
          <w:lang w:val="en-US"/>
        </w:rPr>
      </w:pPr>
      <w:r w:rsidRPr="004B38A9">
        <w:rPr>
          <w:rStyle w:val="FootnoteReference"/>
          <w:rFonts w:ascii="Times New Roman" w:hAnsi="Times New Roman" w:cs="Times New Roman"/>
          <w:sz w:val="24"/>
          <w:szCs w:val="24"/>
        </w:rPr>
        <w:footnoteRef/>
      </w:r>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Briain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Jansen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Dworkin’s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Rights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Conception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the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Rule</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Law</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in</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Criminal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Law</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Netherlands</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Journal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of</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Legal</w:t>
      </w:r>
      <w:proofErr w:type="spellEnd"/>
      <w:r w:rsidRPr="004B38A9">
        <w:rPr>
          <w:rFonts w:ascii="Times New Roman" w:hAnsi="Times New Roman" w:cs="Times New Roman"/>
          <w:sz w:val="24"/>
          <w:szCs w:val="24"/>
        </w:rPr>
        <w:t xml:space="preserve"> </w:t>
      </w:r>
      <w:proofErr w:type="spellStart"/>
      <w:r w:rsidRPr="004B38A9">
        <w:rPr>
          <w:rFonts w:ascii="Times New Roman" w:hAnsi="Times New Roman" w:cs="Times New Roman"/>
          <w:sz w:val="24"/>
          <w:szCs w:val="24"/>
        </w:rPr>
        <w:t>Philosophy</w:t>
      </w:r>
      <w:proofErr w:type="spellEnd"/>
      <w:r w:rsidRPr="004B38A9">
        <w:rPr>
          <w:rFonts w:ascii="Times New Roman" w:hAnsi="Times New Roman" w:cs="Times New Roman"/>
          <w:sz w:val="24"/>
          <w:szCs w:val="24"/>
        </w:rPr>
        <w:t xml:space="preserve"> 46, № 2 (2017). </w:t>
      </w:r>
      <w:hyperlink r:id="rId28" w:history="1">
        <w:r w:rsidRPr="004B38A9">
          <w:rPr>
            <w:rStyle w:val="Hyperlink"/>
            <w:rFonts w:ascii="Times New Roman" w:hAnsi="Times New Roman" w:cs="Times New Roman"/>
            <w:sz w:val="24"/>
            <w:szCs w:val="24"/>
          </w:rPr>
          <w:t>https://doi.org/10.5553/njlp/221307132017046002004</w:t>
        </w:r>
      </w:hyperlink>
      <w:r w:rsidRPr="004B38A9">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0C64" w14:textId="77777777" w:rsidR="00960363" w:rsidRDefault="00960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F1F4" w14:textId="77777777" w:rsidR="00960363" w:rsidRDefault="009603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4B94" w14:textId="77777777" w:rsidR="00960363" w:rsidRDefault="00960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E05"/>
    <w:multiLevelType w:val="hybridMultilevel"/>
    <w:tmpl w:val="739A6E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D4F045F"/>
    <w:multiLevelType w:val="hybridMultilevel"/>
    <w:tmpl w:val="BC3032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A7A155F"/>
    <w:multiLevelType w:val="multilevel"/>
    <w:tmpl w:val="29DC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845D45"/>
    <w:multiLevelType w:val="hybridMultilevel"/>
    <w:tmpl w:val="E0D607D6"/>
    <w:lvl w:ilvl="0" w:tplc="3864CA8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58A0387B"/>
    <w:multiLevelType w:val="hybridMultilevel"/>
    <w:tmpl w:val="2FAC3824"/>
    <w:lvl w:ilvl="0" w:tplc="D4BCC8C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791A2781"/>
    <w:multiLevelType w:val="hybridMultilevel"/>
    <w:tmpl w:val="FB2428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852376347">
    <w:abstractNumId w:val="4"/>
  </w:num>
  <w:num w:numId="2" w16cid:durableId="705566646">
    <w:abstractNumId w:val="3"/>
  </w:num>
  <w:num w:numId="3" w16cid:durableId="1457135181">
    <w:abstractNumId w:val="1"/>
  </w:num>
  <w:num w:numId="4" w16cid:durableId="25370140">
    <w:abstractNumId w:val="0"/>
  </w:num>
  <w:num w:numId="5" w16cid:durableId="1078207986">
    <w:abstractNumId w:val="2"/>
  </w:num>
  <w:num w:numId="6" w16cid:durableId="1758671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5B"/>
    <w:rsid w:val="00001BF6"/>
    <w:rsid w:val="00002A01"/>
    <w:rsid w:val="0000676B"/>
    <w:rsid w:val="000405A1"/>
    <w:rsid w:val="000579A5"/>
    <w:rsid w:val="00062056"/>
    <w:rsid w:val="000730A0"/>
    <w:rsid w:val="00077A3E"/>
    <w:rsid w:val="00085FB6"/>
    <w:rsid w:val="00097369"/>
    <w:rsid w:val="000A78F8"/>
    <w:rsid w:val="000B1424"/>
    <w:rsid w:val="000B65BE"/>
    <w:rsid w:val="000B79A4"/>
    <w:rsid w:val="000C0B25"/>
    <w:rsid w:val="000C1C55"/>
    <w:rsid w:val="000D4612"/>
    <w:rsid w:val="000D718E"/>
    <w:rsid w:val="000D771A"/>
    <w:rsid w:val="000E2A6D"/>
    <w:rsid w:val="000F114B"/>
    <w:rsid w:val="000F1437"/>
    <w:rsid w:val="000F2157"/>
    <w:rsid w:val="000F2236"/>
    <w:rsid w:val="000F5837"/>
    <w:rsid w:val="00100D9C"/>
    <w:rsid w:val="00101A9B"/>
    <w:rsid w:val="00102533"/>
    <w:rsid w:val="00103C2F"/>
    <w:rsid w:val="00110C81"/>
    <w:rsid w:val="00111648"/>
    <w:rsid w:val="001123DD"/>
    <w:rsid w:val="00113769"/>
    <w:rsid w:val="00113AD2"/>
    <w:rsid w:val="00120137"/>
    <w:rsid w:val="00133C8C"/>
    <w:rsid w:val="001342A3"/>
    <w:rsid w:val="001430CA"/>
    <w:rsid w:val="00147A5B"/>
    <w:rsid w:val="00151811"/>
    <w:rsid w:val="00153AFC"/>
    <w:rsid w:val="00162166"/>
    <w:rsid w:val="001718DB"/>
    <w:rsid w:val="00175BBC"/>
    <w:rsid w:val="00181167"/>
    <w:rsid w:val="00182BB4"/>
    <w:rsid w:val="00195E93"/>
    <w:rsid w:val="00197399"/>
    <w:rsid w:val="001A6622"/>
    <w:rsid w:val="001B7366"/>
    <w:rsid w:val="001C5238"/>
    <w:rsid w:val="001C77D5"/>
    <w:rsid w:val="001E0A97"/>
    <w:rsid w:val="001E7EE4"/>
    <w:rsid w:val="001F24F5"/>
    <w:rsid w:val="001F342E"/>
    <w:rsid w:val="001F4BBD"/>
    <w:rsid w:val="002000A1"/>
    <w:rsid w:val="002014D1"/>
    <w:rsid w:val="00213E98"/>
    <w:rsid w:val="00220181"/>
    <w:rsid w:val="00220CA2"/>
    <w:rsid w:val="0023016D"/>
    <w:rsid w:val="0023199B"/>
    <w:rsid w:val="002328AB"/>
    <w:rsid w:val="002371A4"/>
    <w:rsid w:val="00243BBB"/>
    <w:rsid w:val="002475F6"/>
    <w:rsid w:val="00252FC8"/>
    <w:rsid w:val="0025416C"/>
    <w:rsid w:val="00254BF6"/>
    <w:rsid w:val="00271D65"/>
    <w:rsid w:val="00293660"/>
    <w:rsid w:val="002A0EB7"/>
    <w:rsid w:val="002A65B7"/>
    <w:rsid w:val="002A77F3"/>
    <w:rsid w:val="002B27A1"/>
    <w:rsid w:val="002B69F2"/>
    <w:rsid w:val="002B77EA"/>
    <w:rsid w:val="002B7CE9"/>
    <w:rsid w:val="002C1B73"/>
    <w:rsid w:val="002C4BB4"/>
    <w:rsid w:val="002D46F4"/>
    <w:rsid w:val="002E307E"/>
    <w:rsid w:val="002E5AD1"/>
    <w:rsid w:val="002F156A"/>
    <w:rsid w:val="002F1E1F"/>
    <w:rsid w:val="002F69AC"/>
    <w:rsid w:val="003003AE"/>
    <w:rsid w:val="0030325E"/>
    <w:rsid w:val="0030591F"/>
    <w:rsid w:val="00310C7A"/>
    <w:rsid w:val="003206AD"/>
    <w:rsid w:val="00322C53"/>
    <w:rsid w:val="00323A8F"/>
    <w:rsid w:val="0032791F"/>
    <w:rsid w:val="00335203"/>
    <w:rsid w:val="00344826"/>
    <w:rsid w:val="003722B1"/>
    <w:rsid w:val="003755C6"/>
    <w:rsid w:val="003762DB"/>
    <w:rsid w:val="00376385"/>
    <w:rsid w:val="0038249F"/>
    <w:rsid w:val="00382EBD"/>
    <w:rsid w:val="00390737"/>
    <w:rsid w:val="00390DA7"/>
    <w:rsid w:val="003910C7"/>
    <w:rsid w:val="003920DA"/>
    <w:rsid w:val="0039349F"/>
    <w:rsid w:val="003B53C6"/>
    <w:rsid w:val="003B6240"/>
    <w:rsid w:val="003B7319"/>
    <w:rsid w:val="003C1EDB"/>
    <w:rsid w:val="003D12BF"/>
    <w:rsid w:val="003D21F1"/>
    <w:rsid w:val="003D5726"/>
    <w:rsid w:val="003E00B6"/>
    <w:rsid w:val="003E230F"/>
    <w:rsid w:val="003E493F"/>
    <w:rsid w:val="003F06CC"/>
    <w:rsid w:val="003F1038"/>
    <w:rsid w:val="00401A07"/>
    <w:rsid w:val="0040423D"/>
    <w:rsid w:val="004046AD"/>
    <w:rsid w:val="00404F25"/>
    <w:rsid w:val="00406DFA"/>
    <w:rsid w:val="00412B93"/>
    <w:rsid w:val="00417348"/>
    <w:rsid w:val="00420FE8"/>
    <w:rsid w:val="00422047"/>
    <w:rsid w:val="00423613"/>
    <w:rsid w:val="0042614D"/>
    <w:rsid w:val="004413FD"/>
    <w:rsid w:val="00445FE6"/>
    <w:rsid w:val="00446278"/>
    <w:rsid w:val="0045231D"/>
    <w:rsid w:val="0046466E"/>
    <w:rsid w:val="004659FA"/>
    <w:rsid w:val="00482549"/>
    <w:rsid w:val="00482922"/>
    <w:rsid w:val="0049250E"/>
    <w:rsid w:val="004A5FF1"/>
    <w:rsid w:val="004B3769"/>
    <w:rsid w:val="004B38A9"/>
    <w:rsid w:val="004B3D38"/>
    <w:rsid w:val="004B4BD2"/>
    <w:rsid w:val="004C42A3"/>
    <w:rsid w:val="004C4C65"/>
    <w:rsid w:val="004C4CA6"/>
    <w:rsid w:val="004E4CA5"/>
    <w:rsid w:val="004E57C8"/>
    <w:rsid w:val="004E694F"/>
    <w:rsid w:val="004E7FCE"/>
    <w:rsid w:val="004F73B7"/>
    <w:rsid w:val="00501726"/>
    <w:rsid w:val="00503655"/>
    <w:rsid w:val="00503D29"/>
    <w:rsid w:val="00526E96"/>
    <w:rsid w:val="005273AF"/>
    <w:rsid w:val="00540704"/>
    <w:rsid w:val="00546228"/>
    <w:rsid w:val="005500B2"/>
    <w:rsid w:val="005619F6"/>
    <w:rsid w:val="005756AF"/>
    <w:rsid w:val="00575BB7"/>
    <w:rsid w:val="00580CF9"/>
    <w:rsid w:val="00581660"/>
    <w:rsid w:val="005816FA"/>
    <w:rsid w:val="005850A9"/>
    <w:rsid w:val="005B4097"/>
    <w:rsid w:val="005C3AA5"/>
    <w:rsid w:val="005C7576"/>
    <w:rsid w:val="005D66A8"/>
    <w:rsid w:val="005E3CE6"/>
    <w:rsid w:val="005F16B1"/>
    <w:rsid w:val="005F73C3"/>
    <w:rsid w:val="005F75D2"/>
    <w:rsid w:val="00604085"/>
    <w:rsid w:val="00613838"/>
    <w:rsid w:val="0061688A"/>
    <w:rsid w:val="00630F6A"/>
    <w:rsid w:val="00631F62"/>
    <w:rsid w:val="006364F5"/>
    <w:rsid w:val="00637DF4"/>
    <w:rsid w:val="00643FAA"/>
    <w:rsid w:val="00646C85"/>
    <w:rsid w:val="00651D7C"/>
    <w:rsid w:val="00651F11"/>
    <w:rsid w:val="00672ECF"/>
    <w:rsid w:val="00676DA0"/>
    <w:rsid w:val="0068604F"/>
    <w:rsid w:val="0068738B"/>
    <w:rsid w:val="00690BDE"/>
    <w:rsid w:val="00691878"/>
    <w:rsid w:val="006931E1"/>
    <w:rsid w:val="0069414B"/>
    <w:rsid w:val="00694F39"/>
    <w:rsid w:val="006A384C"/>
    <w:rsid w:val="006A4E92"/>
    <w:rsid w:val="006A653A"/>
    <w:rsid w:val="006A7133"/>
    <w:rsid w:val="006B3EB4"/>
    <w:rsid w:val="006C0D79"/>
    <w:rsid w:val="006C4A7B"/>
    <w:rsid w:val="006E046B"/>
    <w:rsid w:val="006E1FF1"/>
    <w:rsid w:val="006E4538"/>
    <w:rsid w:val="006F2271"/>
    <w:rsid w:val="006F3158"/>
    <w:rsid w:val="006F4076"/>
    <w:rsid w:val="007001E9"/>
    <w:rsid w:val="007007A3"/>
    <w:rsid w:val="0070484F"/>
    <w:rsid w:val="00714633"/>
    <w:rsid w:val="007354B0"/>
    <w:rsid w:val="0075305B"/>
    <w:rsid w:val="0076037C"/>
    <w:rsid w:val="00761591"/>
    <w:rsid w:val="007717AD"/>
    <w:rsid w:val="00771C9F"/>
    <w:rsid w:val="00774DF5"/>
    <w:rsid w:val="007827AE"/>
    <w:rsid w:val="007865A6"/>
    <w:rsid w:val="007872F1"/>
    <w:rsid w:val="007A6B31"/>
    <w:rsid w:val="007B00C6"/>
    <w:rsid w:val="007B719C"/>
    <w:rsid w:val="007C0E5A"/>
    <w:rsid w:val="007D6CED"/>
    <w:rsid w:val="007D6F8E"/>
    <w:rsid w:val="007E566C"/>
    <w:rsid w:val="0080507B"/>
    <w:rsid w:val="0080685A"/>
    <w:rsid w:val="00816016"/>
    <w:rsid w:val="00835388"/>
    <w:rsid w:val="00843D22"/>
    <w:rsid w:val="00845A98"/>
    <w:rsid w:val="00846F14"/>
    <w:rsid w:val="0085192C"/>
    <w:rsid w:val="00852AAB"/>
    <w:rsid w:val="00855B6C"/>
    <w:rsid w:val="0086230A"/>
    <w:rsid w:val="00865C99"/>
    <w:rsid w:val="00871BA3"/>
    <w:rsid w:val="00892938"/>
    <w:rsid w:val="00894C89"/>
    <w:rsid w:val="00894EAA"/>
    <w:rsid w:val="008A140F"/>
    <w:rsid w:val="008B3830"/>
    <w:rsid w:val="008B4ADE"/>
    <w:rsid w:val="008C04B1"/>
    <w:rsid w:val="008C10BB"/>
    <w:rsid w:val="008C7757"/>
    <w:rsid w:val="008F3E0A"/>
    <w:rsid w:val="008F4D68"/>
    <w:rsid w:val="008F6223"/>
    <w:rsid w:val="008F7D31"/>
    <w:rsid w:val="0090172D"/>
    <w:rsid w:val="00901B42"/>
    <w:rsid w:val="00901E35"/>
    <w:rsid w:val="00917C74"/>
    <w:rsid w:val="009222C2"/>
    <w:rsid w:val="00925FF1"/>
    <w:rsid w:val="0093442F"/>
    <w:rsid w:val="009373AD"/>
    <w:rsid w:val="00937B9F"/>
    <w:rsid w:val="009407D8"/>
    <w:rsid w:val="00960363"/>
    <w:rsid w:val="00993DC6"/>
    <w:rsid w:val="0099433D"/>
    <w:rsid w:val="009943B3"/>
    <w:rsid w:val="00995A20"/>
    <w:rsid w:val="009A2045"/>
    <w:rsid w:val="009A2DB9"/>
    <w:rsid w:val="009A691F"/>
    <w:rsid w:val="009A6FB6"/>
    <w:rsid w:val="009A7DC8"/>
    <w:rsid w:val="009B453F"/>
    <w:rsid w:val="009C0369"/>
    <w:rsid w:val="009D292D"/>
    <w:rsid w:val="009D3D1F"/>
    <w:rsid w:val="009F5050"/>
    <w:rsid w:val="009F7B03"/>
    <w:rsid w:val="00A1065A"/>
    <w:rsid w:val="00A127F3"/>
    <w:rsid w:val="00A15463"/>
    <w:rsid w:val="00A157F8"/>
    <w:rsid w:val="00A17B1B"/>
    <w:rsid w:val="00A2029E"/>
    <w:rsid w:val="00A22855"/>
    <w:rsid w:val="00A237DD"/>
    <w:rsid w:val="00A2394A"/>
    <w:rsid w:val="00A263B5"/>
    <w:rsid w:val="00A3168F"/>
    <w:rsid w:val="00A43DAC"/>
    <w:rsid w:val="00A51758"/>
    <w:rsid w:val="00A51C61"/>
    <w:rsid w:val="00A5473B"/>
    <w:rsid w:val="00A55BD8"/>
    <w:rsid w:val="00A57FB8"/>
    <w:rsid w:val="00A6090D"/>
    <w:rsid w:val="00A64DA5"/>
    <w:rsid w:val="00A72543"/>
    <w:rsid w:val="00A73C44"/>
    <w:rsid w:val="00A7517E"/>
    <w:rsid w:val="00A81D51"/>
    <w:rsid w:val="00A86F12"/>
    <w:rsid w:val="00A93D17"/>
    <w:rsid w:val="00AA1A79"/>
    <w:rsid w:val="00AA5507"/>
    <w:rsid w:val="00AA77A9"/>
    <w:rsid w:val="00AB3AE4"/>
    <w:rsid w:val="00AC7B10"/>
    <w:rsid w:val="00AE0087"/>
    <w:rsid w:val="00AE21E1"/>
    <w:rsid w:val="00AF000C"/>
    <w:rsid w:val="00B01C32"/>
    <w:rsid w:val="00B049FF"/>
    <w:rsid w:val="00B05F69"/>
    <w:rsid w:val="00B062EE"/>
    <w:rsid w:val="00B11D43"/>
    <w:rsid w:val="00B15FAD"/>
    <w:rsid w:val="00B1676F"/>
    <w:rsid w:val="00B304E1"/>
    <w:rsid w:val="00B31EA7"/>
    <w:rsid w:val="00B34D04"/>
    <w:rsid w:val="00B4291E"/>
    <w:rsid w:val="00B46F7C"/>
    <w:rsid w:val="00B5384F"/>
    <w:rsid w:val="00B56508"/>
    <w:rsid w:val="00B63244"/>
    <w:rsid w:val="00B67192"/>
    <w:rsid w:val="00B92352"/>
    <w:rsid w:val="00BA077F"/>
    <w:rsid w:val="00BA3B27"/>
    <w:rsid w:val="00BA46F5"/>
    <w:rsid w:val="00BA5EF5"/>
    <w:rsid w:val="00BA6FF7"/>
    <w:rsid w:val="00BB19DA"/>
    <w:rsid w:val="00BB5B90"/>
    <w:rsid w:val="00BC591D"/>
    <w:rsid w:val="00BC6FA0"/>
    <w:rsid w:val="00BD39FF"/>
    <w:rsid w:val="00BF6EDB"/>
    <w:rsid w:val="00C03E5F"/>
    <w:rsid w:val="00C04728"/>
    <w:rsid w:val="00C06169"/>
    <w:rsid w:val="00C10CB6"/>
    <w:rsid w:val="00C21329"/>
    <w:rsid w:val="00C30DB2"/>
    <w:rsid w:val="00C3175C"/>
    <w:rsid w:val="00C36496"/>
    <w:rsid w:val="00C369F9"/>
    <w:rsid w:val="00C4454D"/>
    <w:rsid w:val="00C501BA"/>
    <w:rsid w:val="00C57B0A"/>
    <w:rsid w:val="00C57B8C"/>
    <w:rsid w:val="00C6395B"/>
    <w:rsid w:val="00C67757"/>
    <w:rsid w:val="00C72148"/>
    <w:rsid w:val="00C8581C"/>
    <w:rsid w:val="00C870EF"/>
    <w:rsid w:val="00C871E6"/>
    <w:rsid w:val="00C91C44"/>
    <w:rsid w:val="00C92CB5"/>
    <w:rsid w:val="00CA3296"/>
    <w:rsid w:val="00CA52C8"/>
    <w:rsid w:val="00CB61B5"/>
    <w:rsid w:val="00CB65BA"/>
    <w:rsid w:val="00CC0C4E"/>
    <w:rsid w:val="00CC75F7"/>
    <w:rsid w:val="00CD32F9"/>
    <w:rsid w:val="00CD625B"/>
    <w:rsid w:val="00CF4EF0"/>
    <w:rsid w:val="00D06444"/>
    <w:rsid w:val="00D1516E"/>
    <w:rsid w:val="00D31262"/>
    <w:rsid w:val="00D34F14"/>
    <w:rsid w:val="00D50D45"/>
    <w:rsid w:val="00D661B8"/>
    <w:rsid w:val="00D70CEE"/>
    <w:rsid w:val="00D84497"/>
    <w:rsid w:val="00D85337"/>
    <w:rsid w:val="00D937AB"/>
    <w:rsid w:val="00D95B5A"/>
    <w:rsid w:val="00DA0EC2"/>
    <w:rsid w:val="00DC73F6"/>
    <w:rsid w:val="00DD1905"/>
    <w:rsid w:val="00DD299C"/>
    <w:rsid w:val="00DE01F3"/>
    <w:rsid w:val="00DE7C59"/>
    <w:rsid w:val="00DF4168"/>
    <w:rsid w:val="00DF47C0"/>
    <w:rsid w:val="00E04085"/>
    <w:rsid w:val="00E0608E"/>
    <w:rsid w:val="00E06B1F"/>
    <w:rsid w:val="00E10C67"/>
    <w:rsid w:val="00E12BE9"/>
    <w:rsid w:val="00E15921"/>
    <w:rsid w:val="00E175A4"/>
    <w:rsid w:val="00E2115C"/>
    <w:rsid w:val="00E25786"/>
    <w:rsid w:val="00E32D1E"/>
    <w:rsid w:val="00E56A7B"/>
    <w:rsid w:val="00E56DFA"/>
    <w:rsid w:val="00E61303"/>
    <w:rsid w:val="00E61721"/>
    <w:rsid w:val="00E7589D"/>
    <w:rsid w:val="00E836FB"/>
    <w:rsid w:val="00E83D26"/>
    <w:rsid w:val="00E84A21"/>
    <w:rsid w:val="00E91BEA"/>
    <w:rsid w:val="00E92B36"/>
    <w:rsid w:val="00E96F27"/>
    <w:rsid w:val="00EA5319"/>
    <w:rsid w:val="00EA53EE"/>
    <w:rsid w:val="00EC0595"/>
    <w:rsid w:val="00EC6F4E"/>
    <w:rsid w:val="00EC77F4"/>
    <w:rsid w:val="00ED0C15"/>
    <w:rsid w:val="00ED44D3"/>
    <w:rsid w:val="00ED6334"/>
    <w:rsid w:val="00EF68B6"/>
    <w:rsid w:val="00F0505B"/>
    <w:rsid w:val="00F10BB2"/>
    <w:rsid w:val="00F25127"/>
    <w:rsid w:val="00F25D6E"/>
    <w:rsid w:val="00F4433E"/>
    <w:rsid w:val="00F52442"/>
    <w:rsid w:val="00F636EE"/>
    <w:rsid w:val="00F658B5"/>
    <w:rsid w:val="00F67402"/>
    <w:rsid w:val="00F95567"/>
    <w:rsid w:val="00F95E92"/>
    <w:rsid w:val="00FA029E"/>
    <w:rsid w:val="00FA1FB0"/>
    <w:rsid w:val="00FA23DA"/>
    <w:rsid w:val="00FA4203"/>
    <w:rsid w:val="00FB7EA8"/>
    <w:rsid w:val="00FC44CE"/>
    <w:rsid w:val="00FE1123"/>
    <w:rsid w:val="00FE2009"/>
    <w:rsid w:val="00FE68D8"/>
    <w:rsid w:val="00FF0BB5"/>
    <w:rsid w:val="00FF10F3"/>
    <w:rsid w:val="00FF50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378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F7"/>
    <w:rPr>
      <w:color w:val="0563C1" w:themeColor="hyperlink"/>
      <w:u w:val="single"/>
    </w:rPr>
  </w:style>
  <w:style w:type="paragraph" w:styleId="ListParagraph">
    <w:name w:val="List Paragraph"/>
    <w:basedOn w:val="Normal"/>
    <w:uiPriority w:val="34"/>
    <w:qFormat/>
    <w:rsid w:val="00B1676F"/>
    <w:pPr>
      <w:ind w:left="720"/>
      <w:contextualSpacing/>
    </w:pPr>
  </w:style>
  <w:style w:type="character" w:styleId="Emphasis">
    <w:name w:val="Emphasis"/>
    <w:basedOn w:val="DefaultParagraphFont"/>
    <w:uiPriority w:val="20"/>
    <w:qFormat/>
    <w:rsid w:val="004B4BD2"/>
    <w:rPr>
      <w:i/>
      <w:iCs/>
    </w:rPr>
  </w:style>
  <w:style w:type="paragraph" w:styleId="FootnoteText">
    <w:name w:val="footnote text"/>
    <w:basedOn w:val="Normal"/>
    <w:link w:val="FootnoteTextChar"/>
    <w:uiPriority w:val="99"/>
    <w:semiHidden/>
    <w:unhideWhenUsed/>
    <w:rsid w:val="00FF0B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BB5"/>
    <w:rPr>
      <w:sz w:val="20"/>
      <w:szCs w:val="20"/>
    </w:rPr>
  </w:style>
  <w:style w:type="character" w:styleId="FootnoteReference">
    <w:name w:val="footnote reference"/>
    <w:basedOn w:val="DefaultParagraphFont"/>
    <w:uiPriority w:val="99"/>
    <w:semiHidden/>
    <w:unhideWhenUsed/>
    <w:rsid w:val="00FF0BB5"/>
    <w:rPr>
      <w:vertAlign w:val="superscript"/>
    </w:rPr>
  </w:style>
  <w:style w:type="paragraph" w:styleId="NormalWeb">
    <w:name w:val="Normal (Web)"/>
    <w:basedOn w:val="Normal"/>
    <w:uiPriority w:val="99"/>
    <w:unhideWhenUsed/>
    <w:rsid w:val="00DD29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FollowedHyperlink">
    <w:name w:val="FollowedHyperlink"/>
    <w:basedOn w:val="DefaultParagraphFont"/>
    <w:uiPriority w:val="99"/>
    <w:semiHidden/>
    <w:unhideWhenUsed/>
    <w:rsid w:val="00771C9F"/>
    <w:rPr>
      <w:color w:val="954F72" w:themeColor="followedHyperlink"/>
      <w:u w:val="single"/>
    </w:rPr>
  </w:style>
  <w:style w:type="paragraph" w:styleId="Header">
    <w:name w:val="header"/>
    <w:basedOn w:val="Normal"/>
    <w:link w:val="HeaderChar"/>
    <w:uiPriority w:val="99"/>
    <w:unhideWhenUsed/>
    <w:rsid w:val="00147A5B"/>
    <w:pPr>
      <w:tabs>
        <w:tab w:val="center" w:pos="4819"/>
        <w:tab w:val="right" w:pos="9639"/>
      </w:tabs>
      <w:spacing w:after="0" w:line="240" w:lineRule="auto"/>
    </w:pPr>
  </w:style>
  <w:style w:type="character" w:customStyle="1" w:styleId="HeaderChar">
    <w:name w:val="Header Char"/>
    <w:basedOn w:val="DefaultParagraphFont"/>
    <w:link w:val="Header"/>
    <w:uiPriority w:val="99"/>
    <w:rsid w:val="00147A5B"/>
  </w:style>
  <w:style w:type="paragraph" w:styleId="Footer">
    <w:name w:val="footer"/>
    <w:basedOn w:val="Normal"/>
    <w:link w:val="FooterChar"/>
    <w:uiPriority w:val="99"/>
    <w:unhideWhenUsed/>
    <w:rsid w:val="00147A5B"/>
    <w:pPr>
      <w:tabs>
        <w:tab w:val="center" w:pos="4819"/>
        <w:tab w:val="right" w:pos="9639"/>
      </w:tabs>
      <w:spacing w:after="0" w:line="240" w:lineRule="auto"/>
    </w:pPr>
  </w:style>
  <w:style w:type="character" w:customStyle="1" w:styleId="FooterChar">
    <w:name w:val="Footer Char"/>
    <w:basedOn w:val="DefaultParagraphFont"/>
    <w:link w:val="Footer"/>
    <w:uiPriority w:val="99"/>
    <w:rsid w:val="00147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0403">
      <w:bodyDiv w:val="1"/>
      <w:marLeft w:val="0"/>
      <w:marRight w:val="0"/>
      <w:marTop w:val="0"/>
      <w:marBottom w:val="0"/>
      <w:divBdr>
        <w:top w:val="none" w:sz="0" w:space="0" w:color="auto"/>
        <w:left w:val="none" w:sz="0" w:space="0" w:color="auto"/>
        <w:bottom w:val="none" w:sz="0" w:space="0" w:color="auto"/>
        <w:right w:val="none" w:sz="0" w:space="0" w:color="auto"/>
      </w:divBdr>
    </w:div>
    <w:div w:id="454301373">
      <w:bodyDiv w:val="1"/>
      <w:marLeft w:val="0"/>
      <w:marRight w:val="0"/>
      <w:marTop w:val="0"/>
      <w:marBottom w:val="0"/>
      <w:divBdr>
        <w:top w:val="none" w:sz="0" w:space="0" w:color="auto"/>
        <w:left w:val="none" w:sz="0" w:space="0" w:color="auto"/>
        <w:bottom w:val="none" w:sz="0" w:space="0" w:color="auto"/>
        <w:right w:val="none" w:sz="0" w:space="0" w:color="auto"/>
      </w:divBdr>
    </w:div>
    <w:div w:id="529030474">
      <w:bodyDiv w:val="1"/>
      <w:marLeft w:val="0"/>
      <w:marRight w:val="0"/>
      <w:marTop w:val="0"/>
      <w:marBottom w:val="0"/>
      <w:divBdr>
        <w:top w:val="none" w:sz="0" w:space="0" w:color="auto"/>
        <w:left w:val="none" w:sz="0" w:space="0" w:color="auto"/>
        <w:bottom w:val="none" w:sz="0" w:space="0" w:color="auto"/>
        <w:right w:val="none" w:sz="0" w:space="0" w:color="auto"/>
      </w:divBdr>
    </w:div>
    <w:div w:id="645278113">
      <w:bodyDiv w:val="1"/>
      <w:marLeft w:val="0"/>
      <w:marRight w:val="0"/>
      <w:marTop w:val="0"/>
      <w:marBottom w:val="0"/>
      <w:divBdr>
        <w:top w:val="none" w:sz="0" w:space="0" w:color="auto"/>
        <w:left w:val="none" w:sz="0" w:space="0" w:color="auto"/>
        <w:bottom w:val="none" w:sz="0" w:space="0" w:color="auto"/>
        <w:right w:val="none" w:sz="0" w:space="0" w:color="auto"/>
      </w:divBdr>
    </w:div>
    <w:div w:id="1181234818">
      <w:bodyDiv w:val="1"/>
      <w:marLeft w:val="0"/>
      <w:marRight w:val="0"/>
      <w:marTop w:val="0"/>
      <w:marBottom w:val="0"/>
      <w:divBdr>
        <w:top w:val="none" w:sz="0" w:space="0" w:color="auto"/>
        <w:left w:val="none" w:sz="0" w:space="0" w:color="auto"/>
        <w:bottom w:val="none" w:sz="0" w:space="0" w:color="auto"/>
        <w:right w:val="none" w:sz="0" w:space="0" w:color="auto"/>
      </w:divBdr>
    </w:div>
    <w:div w:id="1201747213">
      <w:bodyDiv w:val="1"/>
      <w:marLeft w:val="0"/>
      <w:marRight w:val="0"/>
      <w:marTop w:val="0"/>
      <w:marBottom w:val="0"/>
      <w:divBdr>
        <w:top w:val="none" w:sz="0" w:space="0" w:color="auto"/>
        <w:left w:val="none" w:sz="0" w:space="0" w:color="auto"/>
        <w:bottom w:val="none" w:sz="0" w:space="0" w:color="auto"/>
        <w:right w:val="none" w:sz="0" w:space="0" w:color="auto"/>
      </w:divBdr>
    </w:div>
    <w:div w:id="1478642157">
      <w:bodyDiv w:val="1"/>
      <w:marLeft w:val="0"/>
      <w:marRight w:val="0"/>
      <w:marTop w:val="0"/>
      <w:marBottom w:val="0"/>
      <w:divBdr>
        <w:top w:val="none" w:sz="0" w:space="0" w:color="auto"/>
        <w:left w:val="none" w:sz="0" w:space="0" w:color="auto"/>
        <w:bottom w:val="none" w:sz="0" w:space="0" w:color="auto"/>
        <w:right w:val="none" w:sz="0" w:space="0" w:color="auto"/>
      </w:divBdr>
    </w:div>
    <w:div w:id="1782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kmair.ukma.edu.ua/handle/123456789/5929" TargetMode="External"/><Relationship Id="rId18" Type="http://schemas.openxmlformats.org/officeDocument/2006/relationships/hyperlink" Target="https://hudoc.echr.coe.int/eng" TargetMode="External"/><Relationship Id="rId26" Type="http://schemas.openxmlformats.org/officeDocument/2006/relationships/hyperlink" Target="http://nbuv.gov.ua/UJRN/apvchzu_2009_21_40" TargetMode="External"/><Relationship Id="rId39" Type="http://schemas.openxmlformats.org/officeDocument/2006/relationships/hyperlink" Target="https://hudoc.echr.coe.int/fre" TargetMode="External"/><Relationship Id="rId21" Type="http://schemas.openxmlformats.org/officeDocument/2006/relationships/hyperlink" Target="https://www.servat.unibe.ch/dfr/bv095096.html" TargetMode="External"/><Relationship Id="rId34" Type="http://schemas.openxmlformats.org/officeDocument/2006/relationships/hyperlink" Target="https://doi.org/10.5553/njlp/221307132017046002004"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buv.gov.ua/UJRN/Prav_2016_23_13" TargetMode="External"/><Relationship Id="rId29" Type="http://schemas.openxmlformats.org/officeDocument/2006/relationships/hyperlink" Target="https://hudoc.echr.coe.int/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du-journal.kpu.zp.ua/archive/2_2023/59.pdf" TargetMode="External"/><Relationship Id="rId24" Type="http://schemas.openxmlformats.org/officeDocument/2006/relationships/hyperlink" Target="https://hudoc.echr.coe.int/fre" TargetMode="External"/><Relationship Id="rId32" Type="http://schemas.openxmlformats.org/officeDocument/2006/relationships/hyperlink" Target="http://nbuv.gov.ua/UJRN/vnulpurn_2015_825_13" TargetMode="External"/><Relationship Id="rId37" Type="http://schemas.openxmlformats.org/officeDocument/2006/relationships/hyperlink" Target="http://nbuv.gov.ua/UJRN/Prav_2016_23_13" TargetMode="External"/><Relationship Id="rId40" Type="http://schemas.openxmlformats.org/officeDocument/2006/relationships/hyperlink" Target="http://ekmair.ukma.edu.ua/handle/123456789/5929"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buv.gov.ua/UJRN/vaau_2010_1_5" TargetMode="External"/><Relationship Id="rId23" Type="http://schemas.openxmlformats.org/officeDocument/2006/relationships/hyperlink" Target="https://supreme.justia.com/cases/federal/us/532/451/" TargetMode="External"/><Relationship Id="rId28" Type="http://schemas.openxmlformats.org/officeDocument/2006/relationships/hyperlink" Target="https://gallica.bnf.fr/ark:/12148/bpt6k1061517/f2.item" TargetMode="External"/><Relationship Id="rId36" Type="http://schemas.openxmlformats.org/officeDocument/2006/relationships/hyperlink" Target="http://nbuv.gov.ua/UJRN/vaau_2010_1_5" TargetMode="External"/><Relationship Id="rId10" Type="http://schemas.openxmlformats.org/officeDocument/2006/relationships/hyperlink" Target="http://nbuv.gov.ua/UJRN/apvchzu_2009_21_40" TargetMode="External"/><Relationship Id="rId19" Type="http://schemas.openxmlformats.org/officeDocument/2006/relationships/hyperlink" Target="https://www.degruyter.com/document/doi/10.1515/9789048537143-005/html?lang=en" TargetMode="External"/><Relationship Id="rId31" Type="http://schemas.openxmlformats.org/officeDocument/2006/relationships/hyperlink" Target="http://www.pdu-journal.kpu.zp.ua/archive/2_2023/59.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egalposition.umsf.in.ua/archive/2020/3/1.pdf" TargetMode="External"/><Relationship Id="rId14" Type="http://schemas.openxmlformats.org/officeDocument/2006/relationships/hyperlink" Target="http://nbuv.gov.ua/UJRN/Pupch_2013_1_44" TargetMode="External"/><Relationship Id="rId22" Type="http://schemas.openxmlformats.org/officeDocument/2006/relationships/hyperlink" Target="https://doi.org/10.5553/njlp/221307132017046002004" TargetMode="External"/><Relationship Id="rId27" Type="http://schemas.openxmlformats.org/officeDocument/2006/relationships/hyperlink" Target="https://www.degruyter.com/document/doi/10.1515/9789048537143-005/html?lang=en" TargetMode="External"/><Relationship Id="rId30" Type="http://schemas.openxmlformats.org/officeDocument/2006/relationships/hyperlink" Target="https://www.servat.unibe.ch/dfr/bv095096.html" TargetMode="External"/><Relationship Id="rId35" Type="http://schemas.openxmlformats.org/officeDocument/2006/relationships/hyperlink" Target="http://nbuv.gov.ua/UJRN/Chaau_2014_7_3_13"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orcid.org/0009-0000-5625-190" TargetMode="External"/><Relationship Id="rId3" Type="http://schemas.openxmlformats.org/officeDocument/2006/relationships/styles" Target="styles.xml"/><Relationship Id="rId12" Type="http://schemas.openxmlformats.org/officeDocument/2006/relationships/hyperlink" Target="http://nbuv.gov.ua/UJRN/vnulpurn_2015_825_13" TargetMode="External"/><Relationship Id="rId17" Type="http://schemas.openxmlformats.org/officeDocument/2006/relationships/hyperlink" Target="http://nbuv.gov.ua/UJRN/Chaau_2014_7_3_13" TargetMode="External"/><Relationship Id="rId25" Type="http://schemas.openxmlformats.org/officeDocument/2006/relationships/hyperlink" Target="https://legalposition.umsf.in.ua/archive/2020/3/1.pdf" TargetMode="External"/><Relationship Id="rId33" Type="http://schemas.openxmlformats.org/officeDocument/2006/relationships/hyperlink" Target="http://nbuv.gov.ua/UJRN/Pupch_2013_1_44" TargetMode="External"/><Relationship Id="rId38" Type="http://schemas.openxmlformats.org/officeDocument/2006/relationships/hyperlink" Target="https://supreme.justia.com/cases/federal/us/532/451/" TargetMode="External"/><Relationship Id="rId46" Type="http://schemas.openxmlformats.org/officeDocument/2006/relationships/footer" Target="footer3.xml"/><Relationship Id="rId20" Type="http://schemas.openxmlformats.org/officeDocument/2006/relationships/hyperlink" Target="https://gallica.bnf.fr/ark:/12148/bpt6k1061517/f2.item"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pdu-journal.kpu.zp.ua/archive/2_2023/59.pdf" TargetMode="External"/><Relationship Id="rId13" Type="http://schemas.openxmlformats.org/officeDocument/2006/relationships/hyperlink" Target="https://doi.org/10.5553/njlp/221307132017046002004" TargetMode="External"/><Relationship Id="rId18" Type="http://schemas.openxmlformats.org/officeDocument/2006/relationships/hyperlink" Target="https://hudoc.echr.coe.int/eng" TargetMode="External"/><Relationship Id="rId26" Type="http://schemas.openxmlformats.org/officeDocument/2006/relationships/hyperlink" Target="https://doi.org/10.5553/njlp/221307132017046002004" TargetMode="External"/><Relationship Id="rId3" Type="http://schemas.openxmlformats.org/officeDocument/2006/relationships/hyperlink" Target="http://nbuv.gov.ua/UJRN/Pupch_2013_1_44" TargetMode="External"/><Relationship Id="rId21" Type="http://schemas.openxmlformats.org/officeDocument/2006/relationships/hyperlink" Target="https://supreme.justia.com/cases/federal/us/532/451/" TargetMode="External"/><Relationship Id="rId7" Type="http://schemas.openxmlformats.org/officeDocument/2006/relationships/hyperlink" Target="http://nbuv.gov.ua/UJRN/vnulpurn_2015_825_13" TargetMode="External"/><Relationship Id="rId12" Type="http://schemas.openxmlformats.org/officeDocument/2006/relationships/hyperlink" Target="http://nbuv.gov.ua/UJRN/apvchzu_2009_21_40" TargetMode="External"/><Relationship Id="rId17" Type="http://schemas.openxmlformats.org/officeDocument/2006/relationships/hyperlink" Target="http://nbuv.gov.ua/UJRN/Chaau_2014_7_3_13" TargetMode="External"/><Relationship Id="rId25" Type="http://schemas.openxmlformats.org/officeDocument/2006/relationships/hyperlink" Target="https://hudoc.echr.coe.int/fre" TargetMode="External"/><Relationship Id="rId2" Type="http://schemas.openxmlformats.org/officeDocument/2006/relationships/hyperlink" Target="http://nbuv.gov.ua/UJRN/vaau_2010_1_5" TargetMode="External"/><Relationship Id="rId16" Type="http://schemas.openxmlformats.org/officeDocument/2006/relationships/hyperlink" Target="http://nbuv.gov.ua/UJRN/Chaau_2014_7_3_13" TargetMode="External"/><Relationship Id="rId20" Type="http://schemas.openxmlformats.org/officeDocument/2006/relationships/hyperlink" Target="https://supreme.justia.com/cases/federal/us/532/451/" TargetMode="External"/><Relationship Id="rId1" Type="http://schemas.openxmlformats.org/officeDocument/2006/relationships/hyperlink" Target="http://ekmair.ukma.edu.ua/handle/123456789/5929" TargetMode="External"/><Relationship Id="rId6" Type="http://schemas.openxmlformats.org/officeDocument/2006/relationships/hyperlink" Target="http://nbuv.gov.ua/UJRN/Prav_2016_23_13" TargetMode="External"/><Relationship Id="rId11" Type="http://schemas.openxmlformats.org/officeDocument/2006/relationships/hyperlink" Target="https://legalposition.umsf.in.ua/archive/2020/3/1.pdf" TargetMode="External"/><Relationship Id="rId24" Type="http://schemas.openxmlformats.org/officeDocument/2006/relationships/hyperlink" Target="https://www.servat.unibe.ch/dfr/bv095096.html" TargetMode="External"/><Relationship Id="rId5" Type="http://schemas.openxmlformats.org/officeDocument/2006/relationships/hyperlink" Target="https://gallica.bnf.fr/ark:/12148/bpt6k1061517/f2.item" TargetMode="External"/><Relationship Id="rId15" Type="http://schemas.openxmlformats.org/officeDocument/2006/relationships/hyperlink" Target="https://www.degruyter.com/document/doi/10.1515/9789048537143-005/html?lang=en&amp;srsltid=AfmBOopGY4eoKJrGDvUcX3QEYCek8cgL2CNn-WdrjT_B7fuKJL3Z83rz" TargetMode="External"/><Relationship Id="rId23" Type="http://schemas.openxmlformats.org/officeDocument/2006/relationships/hyperlink" Target="https://www.servat.unibe.ch/dfr/bv095096.html" TargetMode="External"/><Relationship Id="rId28" Type="http://schemas.openxmlformats.org/officeDocument/2006/relationships/hyperlink" Target="https://doi.org/10.5553/njlp/221307132017046002004" TargetMode="External"/><Relationship Id="rId10" Type="http://schemas.openxmlformats.org/officeDocument/2006/relationships/hyperlink" Target="https://legalposition.umsf.in.ua/archive/2020/3/1.pdf" TargetMode="External"/><Relationship Id="rId19" Type="http://schemas.openxmlformats.org/officeDocument/2006/relationships/hyperlink" Target="https://hudoc.echr.coe.int/eng" TargetMode="External"/><Relationship Id="rId4" Type="http://schemas.openxmlformats.org/officeDocument/2006/relationships/hyperlink" Target="http://nbuv.gov.ua/UJRN/Pupch_2013_1_44" TargetMode="External"/><Relationship Id="rId9" Type="http://schemas.openxmlformats.org/officeDocument/2006/relationships/hyperlink" Target="https://legalposition.umsf.in.ua/archive/2020/3/1.pdf" TargetMode="External"/><Relationship Id="rId14" Type="http://schemas.openxmlformats.org/officeDocument/2006/relationships/hyperlink" Target="https://www.degruyter.com/document/doi/10.1515/9789048537143-005/html?lang=en&amp;srsltid=AfmBOopGY4eoKJrGDvUcX3QEYCek8cgL2CNn-WdrjT_B7fuKJL3Z83rz" TargetMode="External"/><Relationship Id="rId22" Type="http://schemas.openxmlformats.org/officeDocument/2006/relationships/hyperlink" Target="https://supreme.justia.com/cases/federal/us/532/451/" TargetMode="External"/><Relationship Id="rId27" Type="http://schemas.openxmlformats.org/officeDocument/2006/relationships/hyperlink" Target="https://doi.org/10.5553/njlp/221307132017046002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DDC58-8594-4708-9C69-F7638946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9415</Words>
  <Characters>53671</Characters>
  <Application>Microsoft Office Word</Application>
  <DocSecurity>0</DocSecurity>
  <Lines>447</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2025-04-07T09:22:00Z</dcterms:created>
  <dcterms:modified xsi:type="dcterms:W3CDTF">2025-06-24T10:55:00Z</dcterms:modified>
</cp:coreProperties>
</file>